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rPr>
          <w:b/>
          <w:sz w:val="36"/>
          <w:szCs w:val="36"/>
        </w:rPr>
      </w:pPr>
    </w:p>
    <w:p>
      <w:pPr>
        <w:spacing w:line="480" w:lineRule="auto"/>
        <w:rPr>
          <w:b/>
          <w:sz w:val="36"/>
          <w:szCs w:val="36"/>
        </w:rPr>
      </w:pPr>
    </w:p>
    <w:p>
      <w:pPr>
        <w:spacing w:line="480" w:lineRule="auto"/>
        <w:rPr>
          <w:b/>
          <w:sz w:val="36"/>
          <w:szCs w:val="36"/>
        </w:rPr>
      </w:pPr>
    </w:p>
    <w:p>
      <w:pPr>
        <w:spacing w:line="480" w:lineRule="auto"/>
        <w:rPr>
          <w:b/>
          <w:sz w:val="36"/>
          <w:szCs w:val="36"/>
        </w:rPr>
      </w:pPr>
    </w:p>
    <w:p>
      <w:pPr>
        <w:jc w:val="center"/>
        <w:rPr>
          <w:b/>
          <w:sz w:val="52"/>
          <w:szCs w:val="52"/>
        </w:rPr>
      </w:pPr>
      <w:r>
        <w:rPr>
          <w:rFonts w:hint="eastAsia"/>
          <w:b/>
          <w:sz w:val="52"/>
          <w:szCs w:val="52"/>
        </w:rPr>
        <w:t>同济大学</w:t>
      </w:r>
    </w:p>
    <w:p>
      <w:pPr>
        <w:spacing w:line="360" w:lineRule="auto"/>
        <w:jc w:val="center"/>
        <w:rPr>
          <w:b/>
          <w:sz w:val="52"/>
          <w:szCs w:val="52"/>
        </w:rPr>
      </w:pPr>
      <w:r>
        <w:rPr>
          <w:rFonts w:hint="eastAsia"/>
          <w:b/>
          <w:sz w:val="52"/>
          <w:szCs w:val="52"/>
          <w:lang w:val="en-US" w:eastAsia="zh-CN"/>
        </w:rPr>
        <w:t>科研</w:t>
      </w:r>
      <w:r>
        <w:rPr>
          <w:rFonts w:hint="eastAsia"/>
          <w:b/>
          <w:sz w:val="52"/>
          <w:szCs w:val="52"/>
        </w:rPr>
        <w:t>项目管理系统</w:t>
      </w:r>
    </w:p>
    <w:p>
      <w:pPr>
        <w:spacing w:line="360" w:lineRule="auto"/>
        <w:jc w:val="center"/>
        <w:rPr>
          <w:b/>
          <w:sz w:val="52"/>
          <w:szCs w:val="52"/>
        </w:rPr>
      </w:pPr>
    </w:p>
    <w:p>
      <w:pPr>
        <w:spacing w:line="360" w:lineRule="auto"/>
        <w:jc w:val="center"/>
        <w:rPr>
          <w:b/>
          <w:sz w:val="28"/>
          <w:szCs w:val="28"/>
        </w:rPr>
      </w:pPr>
      <w:r>
        <w:rPr>
          <w:rFonts w:hint="eastAsia"/>
          <w:b/>
          <w:sz w:val="28"/>
          <w:szCs w:val="28"/>
        </w:rPr>
        <w:t>操作手册</w:t>
      </w:r>
    </w:p>
    <w:p>
      <w:pPr>
        <w:spacing w:line="360" w:lineRule="auto"/>
        <w:jc w:val="center"/>
        <w:rPr>
          <w:b/>
          <w:sz w:val="28"/>
          <w:szCs w:val="28"/>
        </w:rPr>
      </w:pPr>
      <w:r>
        <w:rPr>
          <w:rFonts w:hint="eastAsia"/>
          <w:b/>
          <w:sz w:val="28"/>
          <w:szCs w:val="28"/>
        </w:rPr>
        <w:t>（系统管理员使用）</w:t>
      </w: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r>
        <w:rPr>
          <w:rFonts w:hint="eastAsia"/>
          <w:b/>
          <w:sz w:val="28"/>
          <w:szCs w:val="28"/>
        </w:rPr>
        <w:t>V</w:t>
      </w:r>
      <w:r>
        <w:rPr>
          <w:b/>
          <w:sz w:val="28"/>
          <w:szCs w:val="28"/>
        </w:rPr>
        <w:t>er:</w:t>
      </w:r>
      <w:r>
        <w:rPr>
          <w:rFonts w:hint="eastAsia"/>
          <w:b/>
          <w:sz w:val="28"/>
          <w:szCs w:val="28"/>
          <w:lang w:val="en-US" w:eastAsia="zh-CN"/>
        </w:rPr>
        <w:t>2</w:t>
      </w:r>
      <w:r>
        <w:rPr>
          <w:b/>
          <w:sz w:val="28"/>
          <w:szCs w:val="28"/>
        </w:rPr>
        <w:t>.0</w:t>
      </w:r>
    </w:p>
    <w:p>
      <w:pPr>
        <w:spacing w:line="360" w:lineRule="auto"/>
        <w:jc w:val="center"/>
        <w:rPr>
          <w:b/>
          <w:sz w:val="28"/>
          <w:szCs w:val="28"/>
        </w:rPr>
      </w:pPr>
      <w:r>
        <w:rPr>
          <w:rFonts w:hint="eastAsia"/>
          <w:b/>
          <w:sz w:val="28"/>
          <w:szCs w:val="28"/>
        </w:rPr>
        <w:t>2</w:t>
      </w:r>
      <w:r>
        <w:rPr>
          <w:b/>
          <w:sz w:val="28"/>
          <w:szCs w:val="28"/>
        </w:rPr>
        <w:t>02</w:t>
      </w:r>
      <w:r>
        <w:rPr>
          <w:rFonts w:hint="eastAsia"/>
          <w:b/>
          <w:sz w:val="28"/>
          <w:szCs w:val="28"/>
          <w:lang w:val="en-US" w:eastAsia="zh-CN"/>
        </w:rPr>
        <w:t>3</w:t>
      </w:r>
      <w:r>
        <w:rPr>
          <w:b/>
          <w:sz w:val="28"/>
          <w:szCs w:val="28"/>
        </w:rPr>
        <w:t>/0</w:t>
      </w:r>
      <w:r>
        <w:rPr>
          <w:rFonts w:hint="eastAsia"/>
          <w:b/>
          <w:sz w:val="28"/>
          <w:szCs w:val="28"/>
          <w:lang w:val="en-US" w:eastAsia="zh-CN"/>
        </w:rPr>
        <w:t>8</w:t>
      </w:r>
      <w:r>
        <w:rPr>
          <w:b/>
          <w:sz w:val="28"/>
          <w:szCs w:val="28"/>
        </w:rPr>
        <w:t>/10</w:t>
      </w: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rPr>
          <w:b/>
          <w:sz w:val="28"/>
          <w:szCs w:val="28"/>
        </w:rPr>
      </w:pPr>
      <w:r>
        <w:rPr>
          <w:b/>
          <w:sz w:val="28"/>
          <w:szCs w:val="28"/>
        </w:rPr>
        <w:br w:type="page"/>
      </w:r>
      <w:r>
        <w:rPr>
          <w:rFonts w:hint="eastAsia"/>
          <w:b/>
          <w:sz w:val="28"/>
          <w:szCs w:val="28"/>
        </w:rPr>
        <w:t>文档修订记录</w:t>
      </w:r>
    </w:p>
    <w:tbl>
      <w:tblPr>
        <w:tblStyle w:val="1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709"/>
        <w:gridCol w:w="3827"/>
        <w:gridCol w:w="1560"/>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0CECE" w:themeFill="background2" w:themeFillShade="E6"/>
            <w:vAlign w:val="center"/>
          </w:tcPr>
          <w:p>
            <w:pPr>
              <w:jc w:val="center"/>
              <w:rPr>
                <w:b/>
                <w:kern w:val="0"/>
                <w:sz w:val="20"/>
                <w:szCs w:val="24"/>
              </w:rPr>
            </w:pPr>
            <w:r>
              <w:rPr>
                <w:rFonts w:hint="eastAsia"/>
                <w:b/>
                <w:kern w:val="0"/>
                <w:sz w:val="20"/>
                <w:szCs w:val="24"/>
              </w:rPr>
              <w:t>版本编号或者</w:t>
            </w:r>
          </w:p>
          <w:p>
            <w:pPr>
              <w:jc w:val="center"/>
              <w:rPr>
                <w:b/>
                <w:kern w:val="0"/>
                <w:sz w:val="20"/>
                <w:szCs w:val="24"/>
              </w:rPr>
            </w:pPr>
            <w:r>
              <w:rPr>
                <w:rFonts w:hint="eastAsia"/>
                <w:b/>
                <w:kern w:val="0"/>
                <w:sz w:val="20"/>
                <w:szCs w:val="24"/>
              </w:rPr>
              <w:t>更改记录编号</w:t>
            </w:r>
            <w:r>
              <w:rPr>
                <w:b/>
                <w:kern w:val="0"/>
                <w:sz w:val="20"/>
                <w:szCs w:val="24"/>
              </w:rPr>
              <w:t> </w:t>
            </w:r>
          </w:p>
        </w:tc>
        <w:tc>
          <w:tcPr>
            <w:tcW w:w="709" w:type="dxa"/>
            <w:shd w:val="clear" w:color="auto" w:fill="D0CECE" w:themeFill="background2" w:themeFillShade="E6"/>
            <w:vAlign w:val="center"/>
          </w:tcPr>
          <w:p>
            <w:pPr>
              <w:rPr>
                <w:b/>
                <w:kern w:val="0"/>
                <w:sz w:val="20"/>
                <w:szCs w:val="24"/>
              </w:rPr>
            </w:pPr>
            <w:r>
              <w:rPr>
                <w:rFonts w:hint="eastAsia"/>
                <w:b/>
                <w:kern w:val="0"/>
                <w:sz w:val="20"/>
                <w:szCs w:val="24"/>
              </w:rPr>
              <w:t>变化</w:t>
            </w:r>
          </w:p>
          <w:p>
            <w:pPr>
              <w:rPr>
                <w:b/>
                <w:kern w:val="0"/>
                <w:sz w:val="20"/>
                <w:szCs w:val="24"/>
              </w:rPr>
            </w:pPr>
            <w:r>
              <w:rPr>
                <w:rFonts w:hint="eastAsia"/>
                <w:b/>
                <w:kern w:val="0"/>
                <w:sz w:val="20"/>
                <w:szCs w:val="24"/>
              </w:rPr>
              <w:t>状态</w:t>
            </w:r>
          </w:p>
        </w:tc>
        <w:tc>
          <w:tcPr>
            <w:tcW w:w="3827" w:type="dxa"/>
            <w:shd w:val="clear" w:color="auto" w:fill="D0CECE" w:themeFill="background2" w:themeFillShade="E6"/>
            <w:vAlign w:val="center"/>
          </w:tcPr>
          <w:p>
            <w:pPr>
              <w:jc w:val="center"/>
              <w:rPr>
                <w:b/>
                <w:kern w:val="0"/>
                <w:sz w:val="20"/>
                <w:szCs w:val="24"/>
              </w:rPr>
            </w:pPr>
            <w:r>
              <w:rPr>
                <w:rFonts w:hint="eastAsia"/>
                <w:b/>
                <w:kern w:val="0"/>
                <w:sz w:val="20"/>
                <w:szCs w:val="24"/>
              </w:rPr>
              <w:t>简要说明</w:t>
            </w:r>
          </w:p>
          <w:p>
            <w:pPr>
              <w:jc w:val="center"/>
              <w:rPr>
                <w:b/>
                <w:kern w:val="0"/>
                <w:sz w:val="20"/>
                <w:szCs w:val="24"/>
              </w:rPr>
            </w:pPr>
            <w:r>
              <w:rPr>
                <w:rFonts w:hint="eastAsia"/>
                <w:b/>
                <w:kern w:val="0"/>
                <w:sz w:val="20"/>
                <w:szCs w:val="24"/>
              </w:rPr>
              <w:t>（变更内容和变更范围）</w:t>
            </w:r>
            <w:r>
              <w:rPr>
                <w:b/>
                <w:kern w:val="0"/>
                <w:sz w:val="20"/>
                <w:szCs w:val="24"/>
              </w:rPr>
              <w:t> </w:t>
            </w:r>
          </w:p>
        </w:tc>
        <w:tc>
          <w:tcPr>
            <w:tcW w:w="1560" w:type="dxa"/>
            <w:shd w:val="clear" w:color="auto" w:fill="D0CECE" w:themeFill="background2" w:themeFillShade="E6"/>
            <w:vAlign w:val="center"/>
          </w:tcPr>
          <w:p>
            <w:pPr>
              <w:jc w:val="center"/>
              <w:rPr>
                <w:b/>
                <w:kern w:val="0"/>
                <w:sz w:val="20"/>
                <w:szCs w:val="24"/>
              </w:rPr>
            </w:pPr>
            <w:r>
              <w:rPr>
                <w:rFonts w:hint="eastAsia"/>
                <w:b/>
                <w:kern w:val="0"/>
                <w:sz w:val="20"/>
                <w:szCs w:val="24"/>
              </w:rPr>
              <w:t>日期</w:t>
            </w:r>
          </w:p>
        </w:tc>
        <w:tc>
          <w:tcPr>
            <w:tcW w:w="1275" w:type="dxa"/>
            <w:shd w:val="clear" w:color="auto" w:fill="D0CECE" w:themeFill="background2" w:themeFillShade="E6"/>
            <w:vAlign w:val="center"/>
          </w:tcPr>
          <w:p>
            <w:pPr>
              <w:jc w:val="center"/>
              <w:rPr>
                <w:b/>
                <w:kern w:val="0"/>
                <w:sz w:val="20"/>
                <w:szCs w:val="24"/>
              </w:rPr>
            </w:pPr>
            <w:r>
              <w:rPr>
                <w:rFonts w:hint="eastAsia"/>
                <w:b/>
                <w:kern w:val="0"/>
                <w:sz w:val="20"/>
                <w:szCs w:val="24"/>
              </w:rPr>
              <w:t>修订人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r>
              <w:rPr>
                <w:rFonts w:hint="eastAsia"/>
                <w:b/>
                <w:kern w:val="0"/>
                <w:sz w:val="20"/>
                <w:szCs w:val="24"/>
              </w:rPr>
              <w:t>V</w:t>
            </w:r>
            <w:r>
              <w:rPr>
                <w:b/>
                <w:kern w:val="0"/>
                <w:sz w:val="20"/>
                <w:szCs w:val="24"/>
              </w:rPr>
              <w:t>1.0</w:t>
            </w:r>
          </w:p>
        </w:tc>
        <w:tc>
          <w:tcPr>
            <w:tcW w:w="709" w:type="dxa"/>
          </w:tcPr>
          <w:p>
            <w:pPr>
              <w:rPr>
                <w:b/>
                <w:kern w:val="0"/>
                <w:sz w:val="20"/>
                <w:szCs w:val="24"/>
              </w:rPr>
            </w:pPr>
            <w:r>
              <w:rPr>
                <w:rFonts w:hint="eastAsia"/>
                <w:b/>
                <w:kern w:val="0"/>
                <w:sz w:val="20"/>
                <w:szCs w:val="24"/>
              </w:rPr>
              <w:t>新建</w:t>
            </w: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top"/>
          </w:tcPr>
          <w:p>
            <w:pPr>
              <w:rPr>
                <w:rFonts w:ascii="Times New Roman" w:hAnsi="Times New Roman" w:eastAsia="宋体" w:cs="Times New Roman"/>
                <w:b/>
                <w:kern w:val="0"/>
                <w:sz w:val="20"/>
                <w:szCs w:val="24"/>
                <w:lang w:val="en-US" w:eastAsia="zh-CN" w:bidi="ar-SA"/>
              </w:rPr>
            </w:pPr>
            <w:r>
              <w:rPr>
                <w:rFonts w:hint="eastAsia"/>
                <w:b/>
                <w:kern w:val="0"/>
                <w:sz w:val="20"/>
                <w:szCs w:val="24"/>
              </w:rPr>
              <w:t>V</w:t>
            </w:r>
            <w:r>
              <w:rPr>
                <w:rFonts w:hint="eastAsia"/>
                <w:b/>
                <w:kern w:val="0"/>
                <w:sz w:val="20"/>
                <w:szCs w:val="24"/>
                <w:lang w:val="en-US" w:eastAsia="zh-CN"/>
              </w:rPr>
              <w:t>2</w:t>
            </w:r>
            <w:r>
              <w:rPr>
                <w:b/>
                <w:kern w:val="0"/>
                <w:sz w:val="20"/>
                <w:szCs w:val="24"/>
              </w:rPr>
              <w:t>.0</w:t>
            </w:r>
          </w:p>
        </w:tc>
        <w:tc>
          <w:tcPr>
            <w:tcW w:w="709" w:type="dxa"/>
            <w:vAlign w:val="top"/>
          </w:tcPr>
          <w:p>
            <w:pPr>
              <w:rPr>
                <w:rFonts w:ascii="Times New Roman" w:hAnsi="Times New Roman" w:eastAsia="宋体" w:cs="Times New Roman"/>
                <w:b/>
                <w:kern w:val="0"/>
                <w:sz w:val="20"/>
                <w:szCs w:val="24"/>
                <w:lang w:val="en-US" w:eastAsia="zh-CN" w:bidi="ar-SA"/>
              </w:rPr>
            </w:pPr>
            <w:r>
              <w:rPr>
                <w:rFonts w:hint="eastAsia"/>
                <w:b/>
                <w:kern w:val="0"/>
                <w:sz w:val="20"/>
                <w:szCs w:val="24"/>
                <w:lang w:val="en-US" w:eastAsia="zh-CN"/>
              </w:rPr>
              <w:t>更新</w:t>
            </w:r>
          </w:p>
        </w:tc>
        <w:tc>
          <w:tcPr>
            <w:tcW w:w="3827" w:type="dxa"/>
            <w:vAlign w:val="top"/>
          </w:tcPr>
          <w:p>
            <w:pPr>
              <w:rPr>
                <w:rFonts w:ascii="Times New Roman" w:hAnsi="Times New Roman" w:eastAsia="宋体" w:cs="Times New Roman"/>
                <w:b/>
                <w:kern w:val="0"/>
                <w:sz w:val="20"/>
                <w:szCs w:val="24"/>
                <w:lang w:val="en-US" w:eastAsia="zh-CN" w:bidi="ar-SA"/>
              </w:rPr>
            </w:pPr>
            <w:r>
              <w:rPr>
                <w:rFonts w:hint="eastAsia"/>
                <w:b/>
                <w:kern w:val="0"/>
                <w:sz w:val="20"/>
                <w:szCs w:val="24"/>
                <w:lang w:val="en-US" w:eastAsia="zh-CN"/>
              </w:rPr>
              <w:t>横纵向系统合并</w:t>
            </w:r>
          </w:p>
        </w:tc>
        <w:tc>
          <w:tcPr>
            <w:tcW w:w="1560" w:type="dxa"/>
            <w:vAlign w:val="top"/>
          </w:tcPr>
          <w:p>
            <w:pPr>
              <w:rPr>
                <w:rFonts w:ascii="Times New Roman" w:hAnsi="Times New Roman" w:eastAsia="宋体" w:cs="Times New Roman"/>
                <w:b/>
                <w:kern w:val="0"/>
                <w:sz w:val="20"/>
                <w:szCs w:val="24"/>
                <w:lang w:val="en-US" w:eastAsia="zh-CN" w:bidi="ar-SA"/>
              </w:rPr>
            </w:pPr>
            <w:r>
              <w:rPr>
                <w:rFonts w:hint="eastAsia"/>
                <w:b/>
                <w:kern w:val="0"/>
                <w:sz w:val="20"/>
                <w:szCs w:val="24"/>
                <w:lang w:val="en-US" w:eastAsia="zh-CN"/>
              </w:rPr>
              <w:t>2023/08/10</w:t>
            </w:r>
          </w:p>
        </w:tc>
        <w:tc>
          <w:tcPr>
            <w:tcW w:w="1275" w:type="dxa"/>
            <w:vAlign w:val="top"/>
          </w:tcPr>
          <w:p>
            <w:pPr>
              <w:rPr>
                <w:rFonts w:ascii="Times New Roman" w:hAnsi="Times New Roman" w:eastAsia="宋体" w:cs="Times New Roman"/>
                <w:b/>
                <w:kern w:val="0"/>
                <w:sz w:val="20"/>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bl>
    <w:p/>
    <w:p>
      <w:r>
        <w:br w:type="page"/>
      </w:r>
    </w:p>
    <w:p>
      <w:pPr>
        <w:pStyle w:val="19"/>
        <w:jc w:val="center"/>
      </w:pPr>
      <w:r>
        <w:rPr>
          <w:rFonts w:hint="eastAsia"/>
          <w:lang w:val="zh-CN"/>
        </w:rPr>
        <w:t>目录</w:t>
      </w:r>
    </w:p>
    <w:p>
      <w:pPr>
        <w:pStyle w:val="8"/>
        <w:tabs>
          <w:tab w:val="right" w:leader="dot" w:pos="8306"/>
        </w:tabs>
      </w:pPr>
      <w:r>
        <w:fldChar w:fldCharType="begin"/>
      </w:r>
      <w:r>
        <w:instrText xml:space="preserve"> TOC \o "1-3" \h \z \u </w:instrText>
      </w:r>
      <w:r>
        <w:fldChar w:fldCharType="separate"/>
      </w:r>
      <w:r>
        <w:fldChar w:fldCharType="begin"/>
      </w:r>
      <w:r>
        <w:instrText xml:space="preserve"> HYPERLINK \l _Toc12639 </w:instrText>
      </w:r>
      <w:r>
        <w:fldChar w:fldCharType="separate"/>
      </w:r>
      <w:r>
        <w:t xml:space="preserve">1 </w:t>
      </w:r>
      <w:r>
        <w:rPr>
          <w:rFonts w:hint="eastAsia"/>
        </w:rPr>
        <w:t>引言</w:t>
      </w:r>
      <w:r>
        <w:tab/>
      </w:r>
      <w:r>
        <w:fldChar w:fldCharType="begin"/>
      </w:r>
      <w:r>
        <w:instrText xml:space="preserve"> PAGEREF _Toc12639 \h </w:instrText>
      </w:r>
      <w:r>
        <w:fldChar w:fldCharType="separate"/>
      </w:r>
      <w:r>
        <w:t>4</w:t>
      </w:r>
      <w:r>
        <w:fldChar w:fldCharType="end"/>
      </w:r>
      <w:r>
        <w:fldChar w:fldCharType="end"/>
      </w:r>
    </w:p>
    <w:p>
      <w:pPr>
        <w:pStyle w:val="9"/>
        <w:tabs>
          <w:tab w:val="right" w:leader="dot" w:pos="8306"/>
        </w:tabs>
      </w:pPr>
      <w:r>
        <w:rPr>
          <w:bCs/>
          <w:lang w:val="zh-CN"/>
        </w:rPr>
        <w:fldChar w:fldCharType="begin"/>
      </w:r>
      <w:r>
        <w:rPr>
          <w:bCs/>
          <w:lang w:val="zh-CN"/>
        </w:rPr>
        <w:instrText xml:space="preserve"> HYPERLINK \l _Toc22253 </w:instrText>
      </w:r>
      <w:r>
        <w:rPr>
          <w:bCs/>
          <w:lang w:val="zh-CN"/>
        </w:rPr>
        <w:fldChar w:fldCharType="separate"/>
      </w:r>
      <w:r>
        <w:rPr>
          <w:rFonts w:ascii="宋体" w:hAnsi="宋体" w:eastAsia="宋体"/>
        </w:rPr>
        <w:t xml:space="preserve">1.1 </w:t>
      </w:r>
      <w:r>
        <w:rPr>
          <w:rFonts w:hint="eastAsia" w:ascii="宋体" w:hAnsi="宋体" w:eastAsia="宋体"/>
        </w:rPr>
        <w:t>编写目的</w:t>
      </w:r>
      <w:r>
        <w:tab/>
      </w:r>
      <w:r>
        <w:fldChar w:fldCharType="begin"/>
      </w:r>
      <w:r>
        <w:instrText xml:space="preserve"> PAGEREF _Toc22253 \h </w:instrText>
      </w:r>
      <w:r>
        <w:fldChar w:fldCharType="separate"/>
      </w:r>
      <w:r>
        <w:t>4</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_Toc5567 </w:instrText>
      </w:r>
      <w:r>
        <w:rPr>
          <w:bCs/>
          <w:lang w:val="zh-CN"/>
        </w:rPr>
        <w:fldChar w:fldCharType="separate"/>
      </w:r>
      <w:r>
        <w:rPr>
          <w:rFonts w:ascii="宋体" w:hAnsi="宋体" w:eastAsia="宋体"/>
        </w:rPr>
        <w:t xml:space="preserve">1.2 </w:t>
      </w:r>
      <w:r>
        <w:rPr>
          <w:rFonts w:hint="eastAsia" w:ascii="宋体" w:hAnsi="宋体" w:eastAsia="宋体"/>
        </w:rPr>
        <w:t>适用范围</w:t>
      </w:r>
      <w:r>
        <w:tab/>
      </w:r>
      <w:r>
        <w:fldChar w:fldCharType="begin"/>
      </w:r>
      <w:r>
        <w:instrText xml:space="preserve"> PAGEREF _Toc5567 \h </w:instrText>
      </w:r>
      <w:r>
        <w:fldChar w:fldCharType="separate"/>
      </w:r>
      <w:r>
        <w:t>4</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_Toc17034 </w:instrText>
      </w:r>
      <w:r>
        <w:rPr>
          <w:bCs/>
          <w:lang w:val="zh-CN"/>
        </w:rPr>
        <w:fldChar w:fldCharType="separate"/>
      </w:r>
      <w:r>
        <w:t xml:space="preserve">2 </w:t>
      </w:r>
      <w:r>
        <w:rPr>
          <w:rFonts w:hint="eastAsia"/>
        </w:rPr>
        <w:t>系统概述</w:t>
      </w:r>
      <w:r>
        <w:tab/>
      </w:r>
      <w:r>
        <w:fldChar w:fldCharType="begin"/>
      </w:r>
      <w:r>
        <w:instrText xml:space="preserve"> PAGEREF _Toc17034 \h </w:instrText>
      </w:r>
      <w:r>
        <w:fldChar w:fldCharType="separate"/>
      </w:r>
      <w:r>
        <w:t>4</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_Toc22868 </w:instrText>
      </w:r>
      <w:r>
        <w:rPr>
          <w:bCs/>
          <w:lang w:val="zh-CN"/>
        </w:rPr>
        <w:fldChar w:fldCharType="separate"/>
      </w:r>
      <w:r>
        <w:rPr>
          <w:rFonts w:ascii="宋体" w:hAnsi="宋体" w:eastAsia="宋体"/>
          <w:szCs w:val="28"/>
        </w:rPr>
        <w:t xml:space="preserve">2.1 </w:t>
      </w:r>
      <w:r>
        <w:rPr>
          <w:rFonts w:hint="eastAsia" w:ascii="宋体" w:hAnsi="宋体" w:eastAsia="宋体"/>
          <w:szCs w:val="28"/>
        </w:rPr>
        <w:t>系统简介</w:t>
      </w:r>
      <w:r>
        <w:tab/>
      </w:r>
      <w:r>
        <w:fldChar w:fldCharType="begin"/>
      </w:r>
      <w:r>
        <w:instrText xml:space="preserve"> PAGEREF _Toc22868 \h </w:instrText>
      </w:r>
      <w:r>
        <w:fldChar w:fldCharType="separate"/>
      </w:r>
      <w:r>
        <w:t>4</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_Toc29349 </w:instrText>
      </w:r>
      <w:r>
        <w:rPr>
          <w:bCs/>
          <w:lang w:val="zh-CN"/>
        </w:rPr>
        <w:fldChar w:fldCharType="separate"/>
      </w:r>
      <w:r>
        <w:t xml:space="preserve">3 </w:t>
      </w:r>
      <w:r>
        <w:rPr>
          <w:rFonts w:hint="eastAsia"/>
        </w:rPr>
        <w:t>登录方式</w:t>
      </w:r>
      <w:r>
        <w:tab/>
      </w:r>
      <w:r>
        <w:fldChar w:fldCharType="begin"/>
      </w:r>
      <w:r>
        <w:instrText xml:space="preserve"> PAGEREF _Toc29349 \h </w:instrText>
      </w:r>
      <w:r>
        <w:fldChar w:fldCharType="separate"/>
      </w:r>
      <w:r>
        <w:t>4</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_Toc11802 </w:instrText>
      </w:r>
      <w:r>
        <w:rPr>
          <w:bCs/>
          <w:lang w:val="zh-CN"/>
        </w:rPr>
        <w:fldChar w:fldCharType="separate"/>
      </w:r>
      <w:r>
        <w:t xml:space="preserve">4 </w:t>
      </w:r>
      <w:r>
        <w:rPr>
          <w:rFonts w:hint="eastAsia"/>
          <w:lang w:val="en-US" w:eastAsia="zh-CN"/>
        </w:rPr>
        <w:t>系统设置</w:t>
      </w:r>
      <w:r>
        <w:tab/>
      </w:r>
      <w:r>
        <w:fldChar w:fldCharType="begin"/>
      </w:r>
      <w:r>
        <w:instrText xml:space="preserve"> PAGEREF _Toc11802 \h </w:instrText>
      </w:r>
      <w:r>
        <w:fldChar w:fldCharType="separate"/>
      </w:r>
      <w:r>
        <w:t>5</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_Toc17459 </w:instrText>
      </w:r>
      <w:r>
        <w:rPr>
          <w:bCs/>
          <w:lang w:val="zh-CN"/>
        </w:rPr>
        <w:fldChar w:fldCharType="separate"/>
      </w:r>
      <w:r>
        <w:t xml:space="preserve">5 </w:t>
      </w:r>
      <w:r>
        <w:rPr>
          <w:rFonts w:hint="eastAsia"/>
        </w:rPr>
        <w:t>配置</w:t>
      </w:r>
      <w:r>
        <w:rPr>
          <w:rFonts w:hint="eastAsia"/>
          <w:lang w:val="en-US" w:eastAsia="zh-CN"/>
        </w:rPr>
        <w:t>平台</w:t>
      </w:r>
      <w:r>
        <w:tab/>
      </w:r>
      <w:r>
        <w:fldChar w:fldCharType="begin"/>
      </w:r>
      <w:r>
        <w:instrText xml:space="preserve"> PAGEREF _Toc17459 \h </w:instrText>
      </w:r>
      <w:r>
        <w:fldChar w:fldCharType="separate"/>
      </w:r>
      <w:r>
        <w:t>6</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_Toc19566 </w:instrText>
      </w:r>
      <w:r>
        <w:rPr>
          <w:bCs/>
          <w:lang w:val="zh-CN"/>
        </w:rPr>
        <w:fldChar w:fldCharType="separate"/>
      </w:r>
      <w:r>
        <w:rPr>
          <w:rFonts w:ascii="宋体" w:hAnsi="宋体" w:eastAsia="宋体"/>
          <w:szCs w:val="28"/>
        </w:rPr>
        <w:t xml:space="preserve">5.1 </w:t>
      </w:r>
      <w:r>
        <w:rPr>
          <w:rFonts w:hint="eastAsia" w:ascii="宋体" w:hAnsi="宋体" w:eastAsia="宋体"/>
          <w:szCs w:val="28"/>
          <w:lang w:val="en-US" w:eastAsia="zh-CN"/>
        </w:rPr>
        <w:t>数据字典</w:t>
      </w:r>
      <w:r>
        <w:tab/>
      </w:r>
      <w:r>
        <w:fldChar w:fldCharType="begin"/>
      </w:r>
      <w:r>
        <w:instrText xml:space="preserve"> PAGEREF _Toc19566 \h </w:instrText>
      </w:r>
      <w:r>
        <w:fldChar w:fldCharType="separate"/>
      </w:r>
      <w:r>
        <w:t>6</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_Toc10328 </w:instrText>
      </w:r>
      <w:r>
        <w:rPr>
          <w:bCs/>
          <w:lang w:val="zh-CN"/>
        </w:rPr>
        <w:fldChar w:fldCharType="separate"/>
      </w:r>
      <w:r>
        <w:rPr>
          <w:rFonts w:ascii="宋体" w:hAnsi="宋体" w:eastAsia="宋体"/>
          <w:szCs w:val="28"/>
        </w:rPr>
        <w:t xml:space="preserve">5.2 </w:t>
      </w:r>
      <w:r>
        <w:rPr>
          <w:rFonts w:hint="eastAsia" w:ascii="宋体" w:hAnsi="宋体" w:eastAsia="宋体"/>
          <w:szCs w:val="28"/>
          <w:lang w:val="en-US" w:eastAsia="zh-CN"/>
        </w:rPr>
        <w:t>院系财务编码</w:t>
      </w:r>
      <w:r>
        <w:tab/>
      </w:r>
      <w:r>
        <w:fldChar w:fldCharType="begin"/>
      </w:r>
      <w:r>
        <w:instrText xml:space="preserve"> PAGEREF _Toc10328 \h </w:instrText>
      </w:r>
      <w:r>
        <w:fldChar w:fldCharType="separate"/>
      </w:r>
      <w:r>
        <w:t>6</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_Toc31292 </w:instrText>
      </w:r>
      <w:r>
        <w:rPr>
          <w:bCs/>
          <w:lang w:val="zh-CN"/>
        </w:rPr>
        <w:fldChar w:fldCharType="separate"/>
      </w:r>
      <w:r>
        <w:rPr>
          <w:rFonts w:ascii="宋体" w:hAnsi="宋体" w:eastAsia="宋体"/>
          <w:szCs w:val="28"/>
        </w:rPr>
        <w:t xml:space="preserve">5.3 </w:t>
      </w:r>
      <w:r>
        <w:rPr>
          <w:rFonts w:hint="eastAsia" w:ascii="宋体" w:hAnsi="宋体" w:eastAsia="宋体"/>
          <w:szCs w:val="28"/>
          <w:lang w:val="en-US" w:eastAsia="zh-CN"/>
        </w:rPr>
        <w:t>院系科研主管领导/秘书</w:t>
      </w:r>
      <w:r>
        <w:tab/>
      </w:r>
      <w:r>
        <w:fldChar w:fldCharType="begin"/>
      </w:r>
      <w:r>
        <w:instrText xml:space="preserve"> PAGEREF _Toc31292 \h </w:instrText>
      </w:r>
      <w:r>
        <w:fldChar w:fldCharType="separate"/>
      </w:r>
      <w:r>
        <w:t>7</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_Toc18778 </w:instrText>
      </w:r>
      <w:r>
        <w:rPr>
          <w:bCs/>
          <w:lang w:val="zh-CN"/>
        </w:rPr>
        <w:fldChar w:fldCharType="separate"/>
      </w:r>
      <w:r>
        <w:rPr>
          <w:rFonts w:ascii="宋体" w:hAnsi="宋体" w:eastAsia="宋体"/>
          <w:szCs w:val="28"/>
        </w:rPr>
        <w:t xml:space="preserve">5.4 </w:t>
      </w:r>
      <w:r>
        <w:rPr>
          <w:rFonts w:hint="eastAsia" w:ascii="宋体" w:hAnsi="宋体" w:eastAsia="宋体"/>
          <w:szCs w:val="28"/>
          <w:lang w:val="en-US" w:eastAsia="zh-CN"/>
        </w:rPr>
        <w:t>院系所属校区</w:t>
      </w:r>
      <w:r>
        <w:tab/>
      </w:r>
      <w:r>
        <w:fldChar w:fldCharType="begin"/>
      </w:r>
      <w:r>
        <w:instrText xml:space="preserve"> PAGEREF _Toc18778 \h </w:instrText>
      </w:r>
      <w:r>
        <w:fldChar w:fldCharType="separate"/>
      </w:r>
      <w:r>
        <w:t>7</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_Toc27791 </w:instrText>
      </w:r>
      <w:r>
        <w:rPr>
          <w:bCs/>
          <w:lang w:val="zh-CN"/>
        </w:rPr>
        <w:fldChar w:fldCharType="separate"/>
      </w:r>
      <w:r>
        <w:rPr>
          <w:rFonts w:ascii="宋体" w:hAnsi="宋体" w:eastAsia="宋体"/>
          <w:szCs w:val="28"/>
        </w:rPr>
        <w:t xml:space="preserve">5.5 </w:t>
      </w:r>
      <w:r>
        <w:rPr>
          <w:rFonts w:hint="eastAsia" w:ascii="宋体" w:hAnsi="宋体" w:eastAsia="宋体"/>
          <w:szCs w:val="28"/>
        </w:rPr>
        <w:t>科研</w:t>
      </w:r>
      <w:r>
        <w:rPr>
          <w:rFonts w:hint="eastAsia" w:ascii="宋体" w:hAnsi="宋体" w:eastAsia="宋体"/>
          <w:szCs w:val="28"/>
          <w:lang w:val="en-US" w:eastAsia="zh-CN"/>
        </w:rPr>
        <w:t>领导</w:t>
      </w:r>
      <w:r>
        <w:tab/>
      </w:r>
      <w:r>
        <w:fldChar w:fldCharType="begin"/>
      </w:r>
      <w:r>
        <w:instrText xml:space="preserve"> PAGEREF _Toc27791 \h </w:instrText>
      </w:r>
      <w:r>
        <w:fldChar w:fldCharType="separate"/>
      </w:r>
      <w:r>
        <w:t>7</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_Toc29810 </w:instrText>
      </w:r>
      <w:r>
        <w:rPr>
          <w:bCs/>
          <w:lang w:val="zh-CN"/>
        </w:rPr>
        <w:fldChar w:fldCharType="separate"/>
      </w:r>
      <w:r>
        <w:rPr>
          <w:rFonts w:ascii="宋体" w:hAnsi="宋体" w:eastAsia="宋体"/>
          <w:szCs w:val="28"/>
        </w:rPr>
        <w:t xml:space="preserve">5.6 </w:t>
      </w:r>
      <w:r>
        <w:rPr>
          <w:rFonts w:hint="eastAsia" w:ascii="宋体" w:hAnsi="宋体" w:eastAsia="宋体"/>
          <w:szCs w:val="28"/>
          <w:lang w:val="en-US" w:eastAsia="zh-CN"/>
        </w:rPr>
        <w:t>项目统计/经费统计权限</w:t>
      </w:r>
      <w:r>
        <w:tab/>
      </w:r>
      <w:r>
        <w:fldChar w:fldCharType="begin"/>
      </w:r>
      <w:r>
        <w:instrText xml:space="preserve"> PAGEREF _Toc29810 \h </w:instrText>
      </w:r>
      <w:r>
        <w:fldChar w:fldCharType="separate"/>
      </w:r>
      <w:r>
        <w:t>8</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_Toc24242 </w:instrText>
      </w:r>
      <w:r>
        <w:rPr>
          <w:bCs/>
          <w:lang w:val="zh-CN"/>
        </w:rPr>
        <w:fldChar w:fldCharType="separate"/>
      </w:r>
      <w:r>
        <w:rPr>
          <w:rFonts w:ascii="宋体" w:hAnsi="宋体" w:eastAsia="宋体"/>
          <w:szCs w:val="28"/>
        </w:rPr>
        <w:t xml:space="preserve">5.7 </w:t>
      </w:r>
      <w:r>
        <w:rPr>
          <w:rFonts w:hint="eastAsia" w:ascii="宋体" w:hAnsi="宋体" w:eastAsia="宋体"/>
          <w:szCs w:val="28"/>
          <w:lang w:val="en-US" w:eastAsia="zh-CN"/>
        </w:rPr>
        <w:t>财务助管</w:t>
      </w:r>
      <w:r>
        <w:tab/>
      </w:r>
      <w:r>
        <w:fldChar w:fldCharType="begin"/>
      </w:r>
      <w:r>
        <w:instrText xml:space="preserve"> PAGEREF _Toc24242 \h </w:instrText>
      </w:r>
      <w:r>
        <w:fldChar w:fldCharType="separate"/>
      </w:r>
      <w:r>
        <w:t>8</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_Toc22252 </w:instrText>
      </w:r>
      <w:r>
        <w:rPr>
          <w:bCs/>
          <w:lang w:val="zh-CN"/>
        </w:rPr>
        <w:fldChar w:fldCharType="separate"/>
      </w:r>
      <w:r>
        <w:rPr>
          <w:rFonts w:ascii="宋体" w:hAnsi="宋体" w:eastAsia="宋体"/>
          <w:szCs w:val="28"/>
        </w:rPr>
        <w:t xml:space="preserve">5.8 </w:t>
      </w:r>
      <w:r>
        <w:rPr>
          <w:rFonts w:hint="eastAsia" w:ascii="宋体" w:hAnsi="宋体" w:eastAsia="宋体"/>
          <w:szCs w:val="28"/>
          <w:lang w:val="en-US" w:eastAsia="zh-CN"/>
        </w:rPr>
        <w:t>财务人员</w:t>
      </w:r>
      <w:r>
        <w:tab/>
      </w:r>
      <w:r>
        <w:fldChar w:fldCharType="begin"/>
      </w:r>
      <w:r>
        <w:instrText xml:space="preserve"> PAGEREF _Toc22252 \h </w:instrText>
      </w:r>
      <w:r>
        <w:fldChar w:fldCharType="separate"/>
      </w:r>
      <w:r>
        <w:t>8</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_Toc21311 </w:instrText>
      </w:r>
      <w:r>
        <w:rPr>
          <w:bCs/>
          <w:lang w:val="zh-CN"/>
        </w:rPr>
        <w:fldChar w:fldCharType="separate"/>
      </w:r>
      <w:r>
        <w:rPr>
          <w:rFonts w:ascii="宋体" w:hAnsi="宋体" w:eastAsia="宋体"/>
          <w:szCs w:val="28"/>
        </w:rPr>
        <w:t xml:space="preserve">5.9 </w:t>
      </w:r>
      <w:r>
        <w:rPr>
          <w:rFonts w:hint="eastAsia" w:ascii="宋体" w:hAnsi="宋体" w:eastAsia="宋体"/>
          <w:szCs w:val="28"/>
          <w:lang w:val="en-US" w:eastAsia="zh-CN"/>
        </w:rPr>
        <w:t>项目类别</w:t>
      </w:r>
      <w:r>
        <w:tab/>
      </w:r>
      <w:r>
        <w:fldChar w:fldCharType="begin"/>
      </w:r>
      <w:r>
        <w:instrText xml:space="preserve"> PAGEREF _Toc21311 \h </w:instrText>
      </w:r>
      <w:r>
        <w:fldChar w:fldCharType="separate"/>
      </w:r>
      <w:r>
        <w:t>9</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_Toc20848 </w:instrText>
      </w:r>
      <w:r>
        <w:rPr>
          <w:bCs/>
          <w:lang w:val="zh-CN"/>
        </w:rPr>
        <w:fldChar w:fldCharType="separate"/>
      </w:r>
      <w:r>
        <w:rPr>
          <w:rFonts w:ascii="宋体" w:hAnsi="宋体" w:eastAsia="宋体"/>
          <w:szCs w:val="28"/>
        </w:rPr>
        <w:t xml:space="preserve">5.10 </w:t>
      </w:r>
      <w:r>
        <w:rPr>
          <w:rFonts w:hint="eastAsia" w:ascii="宋体" w:hAnsi="宋体" w:eastAsia="宋体"/>
          <w:szCs w:val="28"/>
          <w:lang w:val="en-US" w:eastAsia="zh-CN"/>
        </w:rPr>
        <w:t>经费卡号类别</w:t>
      </w:r>
      <w:r>
        <w:tab/>
      </w:r>
      <w:r>
        <w:fldChar w:fldCharType="begin"/>
      </w:r>
      <w:r>
        <w:instrText xml:space="preserve"> PAGEREF _Toc20848 \h </w:instrText>
      </w:r>
      <w:r>
        <w:fldChar w:fldCharType="separate"/>
      </w:r>
      <w:r>
        <w:t>9</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_Toc22229 </w:instrText>
      </w:r>
      <w:r>
        <w:rPr>
          <w:bCs/>
          <w:lang w:val="zh-CN"/>
        </w:rPr>
        <w:fldChar w:fldCharType="separate"/>
      </w:r>
      <w:r>
        <w:rPr>
          <w:rFonts w:ascii="宋体" w:hAnsi="宋体" w:eastAsia="宋体"/>
          <w:szCs w:val="28"/>
        </w:rPr>
        <w:t xml:space="preserve">5.11 </w:t>
      </w:r>
      <w:r>
        <w:rPr>
          <w:rFonts w:hint="eastAsia" w:ascii="宋体" w:hAnsi="宋体" w:eastAsia="宋体"/>
          <w:szCs w:val="28"/>
          <w:lang w:val="en-US" w:eastAsia="zh-CN"/>
        </w:rPr>
        <w:t>课题关系配置</w:t>
      </w:r>
      <w:r>
        <w:tab/>
      </w:r>
      <w:r>
        <w:fldChar w:fldCharType="begin"/>
      </w:r>
      <w:r>
        <w:instrText xml:space="preserve"> PAGEREF _Toc22229 \h </w:instrText>
      </w:r>
      <w:r>
        <w:fldChar w:fldCharType="separate"/>
      </w:r>
      <w:r>
        <w:t>9</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_Toc31339 </w:instrText>
      </w:r>
      <w:r>
        <w:rPr>
          <w:bCs/>
          <w:lang w:val="zh-CN"/>
        </w:rPr>
        <w:fldChar w:fldCharType="separate"/>
      </w:r>
      <w:r>
        <w:rPr>
          <w:rFonts w:ascii="宋体" w:hAnsi="宋体" w:eastAsia="宋体"/>
          <w:szCs w:val="28"/>
        </w:rPr>
        <w:t xml:space="preserve">5.12 </w:t>
      </w:r>
      <w:r>
        <w:rPr>
          <w:rFonts w:hint="eastAsia" w:ascii="宋体" w:hAnsi="宋体" w:eastAsia="宋体"/>
          <w:szCs w:val="28"/>
          <w:lang w:val="en-US" w:eastAsia="zh-CN"/>
        </w:rPr>
        <w:t>项目类别与甲方单位国别关系</w:t>
      </w:r>
      <w:r>
        <w:tab/>
      </w:r>
      <w:r>
        <w:fldChar w:fldCharType="begin"/>
      </w:r>
      <w:r>
        <w:instrText xml:space="preserve"> PAGEREF _Toc31339 \h </w:instrText>
      </w:r>
      <w:r>
        <w:fldChar w:fldCharType="separate"/>
      </w:r>
      <w:r>
        <w:t>10</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_Toc6475 </w:instrText>
      </w:r>
      <w:r>
        <w:rPr>
          <w:bCs/>
          <w:lang w:val="zh-CN"/>
        </w:rPr>
        <w:fldChar w:fldCharType="separate"/>
      </w:r>
      <w:r>
        <w:rPr>
          <w:rFonts w:ascii="宋体" w:hAnsi="宋体" w:eastAsia="宋体"/>
          <w:szCs w:val="28"/>
        </w:rPr>
        <w:t xml:space="preserve">5.13 </w:t>
      </w:r>
      <w:r>
        <w:rPr>
          <w:rFonts w:hint="eastAsia" w:ascii="宋体" w:hAnsi="宋体" w:eastAsia="宋体"/>
          <w:szCs w:val="28"/>
          <w:lang w:val="en-US" w:eastAsia="zh-CN"/>
        </w:rPr>
        <w:t>权限设置</w:t>
      </w:r>
      <w:r>
        <w:tab/>
      </w:r>
      <w:r>
        <w:fldChar w:fldCharType="begin"/>
      </w:r>
      <w:r>
        <w:instrText xml:space="preserve"> PAGEREF _Toc6475 \h </w:instrText>
      </w:r>
      <w:r>
        <w:fldChar w:fldCharType="separate"/>
      </w:r>
      <w:r>
        <w:t>10</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_Toc28914 </w:instrText>
      </w:r>
      <w:r>
        <w:rPr>
          <w:bCs/>
          <w:lang w:val="zh-CN"/>
        </w:rPr>
        <w:fldChar w:fldCharType="separate"/>
      </w:r>
      <w:r>
        <w:rPr>
          <w:rFonts w:ascii="宋体" w:hAnsi="宋体" w:eastAsia="宋体"/>
          <w:szCs w:val="28"/>
        </w:rPr>
        <w:t xml:space="preserve">5.14 </w:t>
      </w:r>
      <w:r>
        <w:rPr>
          <w:rFonts w:hint="eastAsia" w:ascii="宋体" w:hAnsi="宋体" w:eastAsia="宋体"/>
          <w:szCs w:val="28"/>
          <w:lang w:val="en-US" w:eastAsia="zh-CN"/>
        </w:rPr>
        <w:t>经费类别、经费提扣项目</w:t>
      </w:r>
      <w:r>
        <w:tab/>
      </w:r>
      <w:r>
        <w:fldChar w:fldCharType="begin"/>
      </w:r>
      <w:r>
        <w:instrText xml:space="preserve"> PAGEREF _Toc28914 \h </w:instrText>
      </w:r>
      <w:r>
        <w:fldChar w:fldCharType="separate"/>
      </w:r>
      <w:r>
        <w:t>11</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_Toc6548 </w:instrText>
      </w:r>
      <w:r>
        <w:rPr>
          <w:bCs/>
          <w:lang w:val="zh-CN"/>
        </w:rPr>
        <w:fldChar w:fldCharType="separate"/>
      </w:r>
      <w:r>
        <w:rPr>
          <w:rFonts w:ascii="宋体" w:hAnsi="宋体" w:eastAsia="宋体"/>
          <w:szCs w:val="28"/>
        </w:rPr>
        <w:t xml:space="preserve">5.15 </w:t>
      </w:r>
      <w:r>
        <w:rPr>
          <w:rFonts w:hint="eastAsia" w:ascii="宋体" w:hAnsi="宋体" w:eastAsia="宋体"/>
          <w:szCs w:val="28"/>
          <w:lang w:val="en-US" w:eastAsia="zh-CN"/>
        </w:rPr>
        <w:t>经费提扣方案</w:t>
      </w:r>
      <w:r>
        <w:tab/>
      </w:r>
      <w:r>
        <w:fldChar w:fldCharType="begin"/>
      </w:r>
      <w:r>
        <w:instrText xml:space="preserve"> PAGEREF _Toc6548 \h </w:instrText>
      </w:r>
      <w:r>
        <w:fldChar w:fldCharType="separate"/>
      </w:r>
      <w:r>
        <w:t>11</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_Toc27547 </w:instrText>
      </w:r>
      <w:r>
        <w:rPr>
          <w:bCs/>
          <w:lang w:val="zh-CN"/>
        </w:rPr>
        <w:fldChar w:fldCharType="separate"/>
      </w:r>
      <w:r>
        <w:rPr>
          <w:rFonts w:ascii="宋体" w:hAnsi="宋体" w:eastAsia="宋体"/>
          <w:szCs w:val="28"/>
        </w:rPr>
        <w:t xml:space="preserve">5.16 </w:t>
      </w:r>
      <w:r>
        <w:rPr>
          <w:rFonts w:hint="eastAsia" w:ascii="宋体" w:hAnsi="宋体" w:eastAsia="宋体"/>
          <w:szCs w:val="28"/>
          <w:lang w:val="en-US" w:eastAsia="zh-CN"/>
        </w:rPr>
        <w:t>经费提扣比例</w:t>
      </w:r>
      <w:r>
        <w:tab/>
      </w:r>
      <w:r>
        <w:fldChar w:fldCharType="begin"/>
      </w:r>
      <w:r>
        <w:instrText xml:space="preserve"> PAGEREF _Toc27547 \h </w:instrText>
      </w:r>
      <w:r>
        <w:fldChar w:fldCharType="separate"/>
      </w:r>
      <w:r>
        <w:t>12</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_Toc16818 </w:instrText>
      </w:r>
      <w:r>
        <w:rPr>
          <w:bCs/>
          <w:lang w:val="zh-CN"/>
        </w:rPr>
        <w:fldChar w:fldCharType="separate"/>
      </w:r>
      <w:r>
        <w:rPr>
          <w:rFonts w:ascii="宋体" w:hAnsi="宋体" w:eastAsia="宋体"/>
          <w:szCs w:val="28"/>
        </w:rPr>
        <w:t xml:space="preserve">5.17 </w:t>
      </w:r>
      <w:r>
        <w:rPr>
          <w:rFonts w:hint="eastAsia" w:ascii="宋体" w:hAnsi="宋体" w:eastAsia="宋体"/>
          <w:szCs w:val="28"/>
          <w:lang w:val="en-US" w:eastAsia="zh-CN"/>
        </w:rPr>
        <w:t>提现比例</w:t>
      </w:r>
      <w:r>
        <w:tab/>
      </w:r>
      <w:r>
        <w:fldChar w:fldCharType="begin"/>
      </w:r>
      <w:r>
        <w:instrText xml:space="preserve"> PAGEREF _Toc16818 \h </w:instrText>
      </w:r>
      <w:r>
        <w:fldChar w:fldCharType="separate"/>
      </w:r>
      <w:r>
        <w:t>12</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_Toc2834 </w:instrText>
      </w:r>
      <w:r>
        <w:rPr>
          <w:bCs/>
          <w:lang w:val="zh-CN"/>
        </w:rPr>
        <w:fldChar w:fldCharType="separate"/>
      </w:r>
      <w:r>
        <w:rPr>
          <w:rFonts w:ascii="宋体" w:hAnsi="宋体" w:eastAsia="宋体"/>
          <w:szCs w:val="28"/>
        </w:rPr>
        <w:t xml:space="preserve">5.18 </w:t>
      </w:r>
      <w:r>
        <w:rPr>
          <w:rFonts w:hint="eastAsia" w:ascii="宋体" w:hAnsi="宋体" w:eastAsia="宋体"/>
          <w:szCs w:val="28"/>
          <w:lang w:val="en-US" w:eastAsia="zh-CN"/>
        </w:rPr>
        <w:t>外包到账限额配置</w:t>
      </w:r>
      <w:r>
        <w:tab/>
      </w:r>
      <w:r>
        <w:fldChar w:fldCharType="begin"/>
      </w:r>
      <w:r>
        <w:instrText xml:space="preserve"> PAGEREF _Toc2834 \h </w:instrText>
      </w:r>
      <w:r>
        <w:fldChar w:fldCharType="separate"/>
      </w:r>
      <w:r>
        <w:t>12</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_Toc31603 </w:instrText>
      </w:r>
      <w:r>
        <w:rPr>
          <w:bCs/>
          <w:lang w:val="zh-CN"/>
        </w:rPr>
        <w:fldChar w:fldCharType="separate"/>
      </w:r>
      <w:r>
        <w:rPr>
          <w:rFonts w:ascii="宋体" w:hAnsi="宋体" w:eastAsia="宋体"/>
          <w:szCs w:val="28"/>
        </w:rPr>
        <w:t xml:space="preserve">5.19 </w:t>
      </w:r>
      <w:r>
        <w:rPr>
          <w:rFonts w:hint="eastAsia" w:ascii="宋体" w:hAnsi="宋体" w:eastAsia="宋体"/>
          <w:szCs w:val="28"/>
          <w:lang w:val="en-US" w:eastAsia="zh-CN"/>
        </w:rPr>
        <w:t>税率配置</w:t>
      </w:r>
      <w:r>
        <w:tab/>
      </w:r>
      <w:r>
        <w:fldChar w:fldCharType="begin"/>
      </w:r>
      <w:r>
        <w:instrText xml:space="preserve"> PAGEREF _Toc31603 \h </w:instrText>
      </w:r>
      <w:r>
        <w:fldChar w:fldCharType="separate"/>
      </w:r>
      <w:r>
        <w:t>13</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_Toc30335 </w:instrText>
      </w:r>
      <w:r>
        <w:rPr>
          <w:bCs/>
          <w:lang w:val="zh-CN"/>
        </w:rPr>
        <w:fldChar w:fldCharType="separate"/>
      </w:r>
      <w:r>
        <w:rPr>
          <w:rFonts w:ascii="宋体" w:hAnsi="宋体" w:eastAsia="宋体"/>
          <w:szCs w:val="28"/>
        </w:rPr>
        <w:t xml:space="preserve">5.20 </w:t>
      </w:r>
      <w:r>
        <w:rPr>
          <w:rFonts w:hint="eastAsia" w:ascii="宋体" w:hAnsi="宋体" w:eastAsia="宋体"/>
          <w:szCs w:val="28"/>
          <w:lang w:val="en-US" w:eastAsia="zh-CN"/>
        </w:rPr>
        <w:t>预算配置</w:t>
      </w:r>
      <w:r>
        <w:tab/>
      </w:r>
      <w:r>
        <w:fldChar w:fldCharType="begin"/>
      </w:r>
      <w:r>
        <w:instrText xml:space="preserve"> PAGEREF _Toc30335 \h </w:instrText>
      </w:r>
      <w:r>
        <w:fldChar w:fldCharType="separate"/>
      </w:r>
      <w:r>
        <w:t>13</w:t>
      </w:r>
      <w:r>
        <w:fldChar w:fldCharType="end"/>
      </w:r>
      <w:r>
        <w:rPr>
          <w:bCs/>
          <w:lang w:val="zh-CN"/>
        </w:rPr>
        <w:fldChar w:fldCharType="end"/>
      </w:r>
    </w:p>
    <w:p>
      <w:r>
        <w:rPr>
          <w:bCs/>
          <w:lang w:val="zh-CN"/>
        </w:rPr>
        <w:fldChar w:fldCharType="end"/>
      </w:r>
    </w:p>
    <w:p/>
    <w:p>
      <w:pPr>
        <w:widowControl/>
        <w:jc w:val="left"/>
      </w:pPr>
      <w:r>
        <w:br w:type="page"/>
      </w:r>
    </w:p>
    <w:p>
      <w:pPr>
        <w:pStyle w:val="2"/>
        <w:numPr>
          <w:ilvl w:val="0"/>
          <w:numId w:val="2"/>
        </w:numPr>
        <w:snapToGrid w:val="0"/>
        <w:spacing w:before="960" w:line="400" w:lineRule="exact"/>
        <w:ind w:left="431" w:hanging="431"/>
      </w:pPr>
      <w:bookmarkStart w:id="0" w:name="_Toc12639"/>
      <w:r>
        <w:rPr>
          <w:rFonts w:hint="eastAsia"/>
        </w:rPr>
        <w:t>引言</w:t>
      </w:r>
      <w:bookmarkEnd w:id="0"/>
    </w:p>
    <w:p>
      <w:pPr>
        <w:pStyle w:val="3"/>
        <w:numPr>
          <w:ilvl w:val="1"/>
          <w:numId w:val="2"/>
        </w:numPr>
        <w:spacing w:after="0" w:line="413" w:lineRule="auto"/>
        <w:ind w:left="578" w:hanging="578"/>
        <w:rPr>
          <w:rFonts w:ascii="宋体" w:hAnsi="宋体" w:eastAsia="宋体"/>
        </w:rPr>
      </w:pPr>
      <w:bookmarkStart w:id="1" w:name="_Toc22253"/>
      <w:r>
        <w:rPr>
          <w:rFonts w:hint="eastAsia" w:ascii="宋体" w:hAnsi="宋体" w:eastAsia="宋体"/>
        </w:rPr>
        <w:t>编写目的</w:t>
      </w:r>
      <w:bookmarkEnd w:id="1"/>
    </w:p>
    <w:p>
      <w:pPr>
        <w:spacing w:line="400" w:lineRule="exact"/>
        <w:ind w:left="105" w:leftChars="50" w:firstLine="525" w:firstLineChars="250"/>
        <w:rPr>
          <w:iCs/>
        </w:rPr>
      </w:pPr>
      <w:r>
        <w:rPr>
          <w:rFonts w:hint="eastAsia"/>
          <w:iCs/>
        </w:rPr>
        <w:t>为了使用户借助本手册的帮助，掌握</w:t>
      </w:r>
      <w:r>
        <w:rPr>
          <w:rFonts w:hint="eastAsia"/>
          <w:iCs/>
          <w:lang w:val="en-US" w:eastAsia="zh-CN"/>
        </w:rPr>
        <w:t>科研</w:t>
      </w:r>
      <w:bookmarkStart w:id="28" w:name="_GoBack"/>
      <w:bookmarkEnd w:id="28"/>
      <w:r>
        <w:rPr>
          <w:rFonts w:hint="eastAsia"/>
          <w:iCs/>
        </w:rPr>
        <w:t>项目管理系统的使用方法，熟悉系统的操作要点和操作注意事项。</w:t>
      </w:r>
    </w:p>
    <w:p>
      <w:pPr>
        <w:pStyle w:val="3"/>
        <w:numPr>
          <w:ilvl w:val="1"/>
          <w:numId w:val="2"/>
        </w:numPr>
        <w:spacing w:after="0" w:line="413" w:lineRule="auto"/>
        <w:ind w:left="578" w:hanging="578"/>
        <w:rPr>
          <w:rFonts w:ascii="宋体" w:hAnsi="宋体" w:eastAsia="宋体"/>
        </w:rPr>
      </w:pPr>
      <w:bookmarkStart w:id="2" w:name="_Toc5567"/>
      <w:r>
        <w:rPr>
          <w:rFonts w:hint="eastAsia" w:ascii="宋体" w:hAnsi="宋体" w:eastAsia="宋体"/>
        </w:rPr>
        <w:t>适用范围</w:t>
      </w:r>
      <w:bookmarkEnd w:id="2"/>
    </w:p>
    <w:p>
      <w:pPr>
        <w:spacing w:line="400" w:lineRule="exact"/>
        <w:ind w:left="105" w:leftChars="50" w:firstLine="525" w:firstLineChars="250"/>
      </w:pPr>
      <w:r>
        <w:rPr>
          <w:rFonts w:hint="eastAsia"/>
        </w:rPr>
        <w:t>系统管理员。</w:t>
      </w:r>
    </w:p>
    <w:p>
      <w:pPr>
        <w:pStyle w:val="2"/>
        <w:numPr>
          <w:ilvl w:val="0"/>
          <w:numId w:val="2"/>
        </w:numPr>
        <w:snapToGrid w:val="0"/>
        <w:spacing w:before="960" w:line="400" w:lineRule="exact"/>
        <w:ind w:left="431" w:hanging="431"/>
      </w:pPr>
      <w:bookmarkStart w:id="3" w:name="_Toc17034"/>
      <w:r>
        <w:rPr>
          <w:rFonts w:hint="eastAsia"/>
        </w:rPr>
        <w:t>系统概述</w:t>
      </w:r>
      <w:bookmarkEnd w:id="3"/>
    </w:p>
    <w:p>
      <w:pPr>
        <w:pStyle w:val="3"/>
        <w:numPr>
          <w:ilvl w:val="1"/>
          <w:numId w:val="2"/>
        </w:numPr>
        <w:spacing w:after="0" w:line="413" w:lineRule="auto"/>
        <w:ind w:left="578" w:hanging="578"/>
        <w:rPr>
          <w:rFonts w:ascii="宋体" w:hAnsi="宋体" w:eastAsia="宋体"/>
          <w:sz w:val="28"/>
          <w:szCs w:val="28"/>
        </w:rPr>
      </w:pPr>
      <w:bookmarkStart w:id="4" w:name="_Toc22868"/>
      <w:r>
        <w:rPr>
          <w:rFonts w:hint="eastAsia" w:ascii="宋体" w:hAnsi="宋体" w:eastAsia="宋体"/>
          <w:sz w:val="28"/>
          <w:szCs w:val="28"/>
        </w:rPr>
        <w:t>系统简介</w:t>
      </w:r>
      <w:bookmarkEnd w:id="4"/>
    </w:p>
    <w:p>
      <w:pPr>
        <w:spacing w:line="400" w:lineRule="exact"/>
        <w:ind w:left="105" w:leftChars="50" w:firstLine="525" w:firstLineChars="250"/>
        <w:rPr>
          <w:rFonts w:hint="eastAsia"/>
          <w:iCs/>
          <w:lang w:val="en-US" w:eastAsia="zh-CN"/>
        </w:rPr>
      </w:pPr>
      <w:r>
        <w:rPr>
          <w:rFonts w:hint="eastAsia"/>
          <w:iCs/>
        </w:rPr>
        <w:t>本次上线的是同济大学</w:t>
      </w:r>
      <w:r>
        <w:rPr>
          <w:rFonts w:hint="eastAsia"/>
          <w:iCs/>
          <w:lang w:val="en-US" w:eastAsia="zh-CN"/>
        </w:rPr>
        <w:t>横向项目、专利转化项目管理的模块，原横向项目数据迁移到本系统，横向和专利转化项目的立项、变更、经费认领、结题、结账都和纵向项目一样在科研系统中操作。</w:t>
      </w:r>
    </w:p>
    <w:p>
      <w:pPr>
        <w:spacing w:line="400" w:lineRule="exact"/>
        <w:ind w:left="105" w:leftChars="50" w:firstLine="525" w:firstLineChars="250"/>
        <w:rPr>
          <w:rFonts w:hint="default"/>
          <w:iCs/>
          <w:lang w:val="en-US" w:eastAsia="zh-CN"/>
        </w:rPr>
      </w:pPr>
      <w:r>
        <w:rPr>
          <w:rFonts w:hint="eastAsia"/>
          <w:iCs/>
          <w:lang w:val="en-US" w:eastAsia="zh-CN"/>
        </w:rPr>
        <w:t>系统管理员的配置界面做了单独的配置平台，配置平台分为横纵向通用配置、纵向相关配置、横向相关配置三个菜单。</w:t>
      </w:r>
    </w:p>
    <w:p>
      <w:pPr>
        <w:pStyle w:val="2"/>
        <w:numPr>
          <w:ilvl w:val="0"/>
          <w:numId w:val="2"/>
        </w:numPr>
      </w:pPr>
      <w:bookmarkStart w:id="5" w:name="_Toc29349"/>
      <w:r>
        <w:rPr>
          <w:rFonts w:hint="eastAsia"/>
        </w:rPr>
        <w:t>登录方式</w:t>
      </w:r>
      <w:bookmarkEnd w:id="5"/>
    </w:p>
    <w:tbl>
      <w:tblPr>
        <w:tblStyle w:val="10"/>
        <w:tblW w:w="8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63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trPr>
        <w:tc>
          <w:tcPr>
            <w:tcW w:w="2122" w:type="dxa"/>
            <w:shd w:val="clear" w:color="auto" w:fill="D9D9D9"/>
          </w:tcPr>
          <w:p>
            <w:pPr>
              <w:spacing w:after="120"/>
              <w:rPr>
                <w:rFonts w:cs="Arial"/>
                <w:szCs w:val="21"/>
              </w:rPr>
            </w:pPr>
            <w:r>
              <w:rPr>
                <w:rFonts w:hint="eastAsia" w:cs="Arial"/>
                <w:szCs w:val="21"/>
              </w:rPr>
              <w:t>系统地址</w:t>
            </w:r>
          </w:p>
        </w:tc>
        <w:tc>
          <w:tcPr>
            <w:tcW w:w="6378" w:type="dxa"/>
          </w:tcPr>
          <w:p>
            <w:pPr>
              <w:autoSpaceDE w:val="0"/>
              <w:autoSpaceDN w:val="0"/>
              <w:adjustRightInd w:val="0"/>
              <w:jc w:val="left"/>
              <w:rPr>
                <w:rFonts w:cs="Arial"/>
                <w:iCs/>
                <w:szCs w:val="21"/>
              </w:rPr>
            </w:pPr>
            <w:r>
              <w:rPr>
                <w:rFonts w:hint="eastAsia" w:ascii="宋体" w:hAnsi="宋体" w:cs="宋体"/>
                <w:sz w:val="24"/>
                <w:szCs w:val="24"/>
                <w:lang w:val="en-US" w:eastAsia="zh-CN"/>
              </w:rPr>
              <w:t>ky.tongji.edu.cn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122" w:type="dxa"/>
            <w:shd w:val="clear" w:color="auto" w:fill="D9D9D9"/>
          </w:tcPr>
          <w:p>
            <w:pPr>
              <w:spacing w:after="120"/>
              <w:rPr>
                <w:rFonts w:cs="Arial"/>
                <w:szCs w:val="21"/>
              </w:rPr>
            </w:pPr>
            <w:r>
              <w:rPr>
                <w:rFonts w:hint="eastAsia" w:cs="Arial"/>
                <w:szCs w:val="21"/>
              </w:rPr>
              <w:t>账号</w:t>
            </w:r>
          </w:p>
        </w:tc>
        <w:tc>
          <w:tcPr>
            <w:tcW w:w="6378" w:type="dxa"/>
          </w:tcPr>
          <w:p>
            <w:pPr>
              <w:spacing w:after="120"/>
              <w:rPr>
                <w:rFonts w:hint="default" w:eastAsia="宋体" w:cs="Arial"/>
                <w:iCs/>
                <w:szCs w:val="21"/>
                <w:lang w:val="en-US" w:eastAsia="zh-CN"/>
              </w:rPr>
            </w:pPr>
            <w:r>
              <w:rPr>
                <w:rFonts w:hint="eastAsia" w:cs="Arial"/>
                <w:iCs/>
                <w:szCs w:val="21"/>
                <w:lang w:val="en-US" w:eastAsia="zh-CN"/>
              </w:rPr>
              <w:t>工号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122" w:type="dxa"/>
            <w:shd w:val="clear" w:color="auto" w:fill="D9D9D9"/>
          </w:tcPr>
          <w:p>
            <w:pPr>
              <w:spacing w:after="120"/>
              <w:rPr>
                <w:rFonts w:cs="Arial"/>
                <w:szCs w:val="21"/>
              </w:rPr>
            </w:pPr>
            <w:r>
              <w:rPr>
                <w:rFonts w:hint="eastAsia" w:cs="Arial"/>
                <w:szCs w:val="21"/>
              </w:rPr>
              <w:t>说明</w:t>
            </w:r>
          </w:p>
        </w:tc>
        <w:tc>
          <w:tcPr>
            <w:tcW w:w="6378" w:type="dxa"/>
          </w:tcPr>
          <w:p>
            <w:pPr>
              <w:spacing w:after="120"/>
              <w:rPr>
                <w:rFonts w:hint="default" w:cs="Arial"/>
                <w:iCs/>
                <w:szCs w:val="21"/>
                <w:lang w:val="en-US" w:eastAsia="zh-CN"/>
              </w:rPr>
            </w:pPr>
            <w:r>
              <w:rPr>
                <w:rFonts w:hint="eastAsia" w:cs="Arial"/>
                <w:iCs/>
                <w:szCs w:val="21"/>
                <w:lang w:val="en-US" w:eastAsia="zh-CN"/>
              </w:rPr>
              <w:t>使用统一身份认证登录</w:t>
            </w:r>
          </w:p>
        </w:tc>
      </w:tr>
    </w:tbl>
    <w:p>
      <w:pPr>
        <w:pageBreakBefore w:val="0"/>
        <w:widowControl w:val="0"/>
        <w:numPr>
          <w:ilvl w:val="0"/>
          <w:numId w:val="0"/>
        </w:numPr>
        <w:tabs>
          <w:tab w:val="left" w:pos="855"/>
        </w:tabs>
        <w:kinsoku/>
        <w:wordWrap/>
        <w:overflowPunct/>
        <w:topLinePunct w:val="0"/>
        <w:autoSpaceDE/>
        <w:autoSpaceDN/>
        <w:bidi w:val="0"/>
        <w:adjustRightInd/>
        <w:snapToGrid/>
        <w:ind w:leftChars="0"/>
        <w:jc w:val="center"/>
        <w:textAlignment w:val="auto"/>
        <w:outlineLvl w:val="9"/>
      </w:pPr>
      <w:r>
        <w:drawing>
          <wp:inline distT="0" distB="0" distL="114300" distR="114300">
            <wp:extent cx="2994025" cy="3305175"/>
            <wp:effectExtent l="0" t="0" r="15875" b="952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5"/>
                    <a:stretch>
                      <a:fillRect/>
                    </a:stretch>
                  </pic:blipFill>
                  <pic:spPr>
                    <a:xfrm>
                      <a:off x="0" y="0"/>
                      <a:ext cx="2994025" cy="3305175"/>
                    </a:xfrm>
                    <a:prstGeom prst="rect">
                      <a:avLst/>
                    </a:prstGeom>
                    <a:noFill/>
                    <a:ln>
                      <a:noFill/>
                    </a:ln>
                  </pic:spPr>
                </pic:pic>
              </a:graphicData>
            </a:graphic>
          </wp:inline>
        </w:drawing>
      </w:r>
    </w:p>
    <w:p>
      <w:pPr>
        <w:pageBreakBefore w:val="0"/>
        <w:widowControl w:val="0"/>
        <w:kinsoku/>
        <w:wordWrap/>
        <w:overflowPunct/>
        <w:topLinePunct w:val="0"/>
        <w:autoSpaceDE/>
        <w:autoSpaceDN/>
        <w:bidi w:val="0"/>
        <w:adjustRightInd/>
        <w:snapToGrid/>
        <w:textAlignment w:val="auto"/>
        <w:outlineLvl w:val="9"/>
      </w:pPr>
      <w:r>
        <w:drawing>
          <wp:inline distT="0" distB="0" distL="114300" distR="114300">
            <wp:extent cx="5265420" cy="1651635"/>
            <wp:effectExtent l="0" t="0" r="1143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65420" cy="1651635"/>
                    </a:xfrm>
                    <a:prstGeom prst="rect">
                      <a:avLst/>
                    </a:prstGeom>
                    <a:noFill/>
                    <a:ln>
                      <a:noFill/>
                    </a:ln>
                  </pic:spPr>
                </pic:pic>
              </a:graphicData>
            </a:graphic>
          </wp:inline>
        </w:drawing>
      </w:r>
    </w:p>
    <w:p>
      <w:pPr>
        <w:pStyle w:val="2"/>
        <w:numPr>
          <w:ilvl w:val="0"/>
          <w:numId w:val="2"/>
        </w:numPr>
      </w:pPr>
      <w:bookmarkStart w:id="6" w:name="_Toc11802"/>
      <w:r>
        <w:rPr>
          <w:rFonts w:hint="eastAsia"/>
          <w:lang w:val="en-US" w:eastAsia="zh-CN"/>
        </w:rPr>
        <w:t>系统设置</w:t>
      </w:r>
      <w:bookmarkEnd w:id="6"/>
    </w:p>
    <w:p>
      <w:pPr>
        <w:rPr>
          <w:rFonts w:hint="eastAsia"/>
          <w:lang w:val="en-US" w:eastAsia="zh-CN"/>
        </w:rPr>
      </w:pPr>
      <w:r>
        <w:rPr>
          <w:rFonts w:hint="eastAsia"/>
          <w:lang w:val="en-US" w:eastAsia="zh-CN"/>
        </w:rPr>
        <w:t>组织权限、菜单管理、开发专用这几个开发人员专用的菜单保留在系统设置下；</w:t>
      </w:r>
    </w:p>
    <w:p>
      <w:pPr>
        <w:rPr>
          <w:rFonts w:hint="default"/>
          <w:lang w:val="en-US" w:eastAsia="zh-CN"/>
        </w:rPr>
      </w:pPr>
      <w:r>
        <w:rPr>
          <w:rFonts w:hint="eastAsia"/>
          <w:lang w:val="en-US" w:eastAsia="zh-CN"/>
        </w:rPr>
        <w:t>系统管理员使用的配置统一移入“配置平台”里</w:t>
      </w:r>
    </w:p>
    <w:p>
      <w:pPr>
        <w:jc w:val="center"/>
      </w:pPr>
      <w:r>
        <w:drawing>
          <wp:inline distT="0" distB="0" distL="114300" distR="114300">
            <wp:extent cx="2994660" cy="1584960"/>
            <wp:effectExtent l="0" t="0" r="15240" b="1524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2994660" cy="1584960"/>
                    </a:xfrm>
                    <a:prstGeom prst="rect">
                      <a:avLst/>
                    </a:prstGeom>
                    <a:noFill/>
                    <a:ln>
                      <a:noFill/>
                    </a:ln>
                  </pic:spPr>
                </pic:pic>
              </a:graphicData>
            </a:graphic>
          </wp:inline>
        </w:drawing>
      </w:r>
    </w:p>
    <w:p>
      <w:pPr>
        <w:pStyle w:val="2"/>
        <w:numPr>
          <w:ilvl w:val="0"/>
          <w:numId w:val="2"/>
        </w:numPr>
      </w:pPr>
      <w:bookmarkStart w:id="7" w:name="_Toc17459"/>
      <w:r>
        <w:rPr>
          <w:rFonts w:hint="eastAsia"/>
        </w:rPr>
        <w:t>配置</w:t>
      </w:r>
      <w:r>
        <w:rPr>
          <w:rFonts w:hint="eastAsia"/>
          <w:lang w:val="en-US" w:eastAsia="zh-CN"/>
        </w:rPr>
        <w:t>平台</w:t>
      </w:r>
      <w:bookmarkEnd w:id="7"/>
    </w:p>
    <w:p>
      <w:r>
        <w:drawing>
          <wp:inline distT="0" distB="0" distL="114300" distR="114300">
            <wp:extent cx="5266690" cy="2044700"/>
            <wp:effectExtent l="9525" t="9525" r="19685" b="2222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a:stretch>
                      <a:fillRect/>
                    </a:stretch>
                  </pic:blipFill>
                  <pic:spPr>
                    <a:xfrm>
                      <a:off x="0" y="0"/>
                      <a:ext cx="5266690" cy="2044700"/>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8" w:name="_Toc19566"/>
      <w:r>
        <w:rPr>
          <w:rFonts w:hint="eastAsia" w:ascii="宋体" w:hAnsi="宋体" w:eastAsia="宋体"/>
          <w:sz w:val="28"/>
          <w:szCs w:val="28"/>
          <w:lang w:val="en-US" w:eastAsia="zh-CN"/>
        </w:rPr>
        <w:t>数据字典</w:t>
      </w:r>
      <w:bookmarkEnd w:id="8"/>
    </w:p>
    <w:p>
      <w:pPr>
        <w:rPr>
          <w:rFonts w:hint="default" w:eastAsia="宋体"/>
          <w:lang w:val="en-US" w:eastAsia="zh-CN"/>
        </w:rPr>
      </w:pPr>
      <w:r>
        <w:rPr>
          <w:rFonts w:hint="eastAsia"/>
          <w:lang w:val="en-US" w:eastAsia="zh-CN"/>
        </w:rPr>
        <w:t>系统中用到的下拉列表选项都要先在数据字典中配置，数据字典分为纵向项目和横向项目两个页签，横向新增的数据字典都在横向项目下</w:t>
      </w:r>
    </w:p>
    <w:p>
      <w:r>
        <w:drawing>
          <wp:inline distT="0" distB="0" distL="114300" distR="114300">
            <wp:extent cx="5270500" cy="2564130"/>
            <wp:effectExtent l="0" t="0" r="6350" b="762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stretch>
                      <a:fillRect/>
                    </a:stretch>
                  </pic:blipFill>
                  <pic:spPr>
                    <a:xfrm>
                      <a:off x="0" y="0"/>
                      <a:ext cx="5270500" cy="2564130"/>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9" w:name="_Toc10328"/>
      <w:r>
        <w:rPr>
          <w:rFonts w:hint="eastAsia" w:ascii="宋体" w:hAnsi="宋体" w:eastAsia="宋体"/>
          <w:sz w:val="28"/>
          <w:szCs w:val="28"/>
          <w:lang w:val="en-US" w:eastAsia="zh-CN"/>
        </w:rPr>
        <w:t>院系财务编码</w:t>
      </w:r>
      <w:bookmarkEnd w:id="9"/>
    </w:p>
    <w:p>
      <w:pPr>
        <w:numPr>
          <w:ilvl w:val="0"/>
          <w:numId w:val="3"/>
        </w:numPr>
        <w:rPr>
          <w:rFonts w:hint="eastAsia"/>
          <w:lang w:val="en-US" w:eastAsia="zh-CN"/>
        </w:rPr>
      </w:pPr>
      <w:r>
        <w:rPr>
          <w:rFonts w:hint="eastAsia"/>
          <w:lang w:val="en-US" w:eastAsia="zh-CN"/>
        </w:rPr>
        <w:t>设置了院系财务编码立项时项目所属学院(系所)才能选到，否则立项时选不到学院(系所)</w:t>
      </w:r>
    </w:p>
    <w:p>
      <w:pPr>
        <w:numPr>
          <w:ilvl w:val="0"/>
          <w:numId w:val="3"/>
        </w:numPr>
        <w:rPr>
          <w:rFonts w:hint="default"/>
          <w:lang w:val="en-US" w:eastAsia="zh-CN"/>
        </w:rPr>
      </w:pPr>
      <w:r>
        <w:rPr>
          <w:rFonts w:hint="eastAsia"/>
          <w:lang w:val="en-US" w:eastAsia="zh-CN"/>
        </w:rPr>
        <w:t>设置过院系财务编码的学院(系所)才能配置院系科研领导、秘书</w:t>
      </w:r>
    </w:p>
    <w:p>
      <w:r>
        <w:drawing>
          <wp:inline distT="0" distB="0" distL="114300" distR="114300">
            <wp:extent cx="5274310" cy="1334770"/>
            <wp:effectExtent l="0" t="0" r="2540" b="1778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5274310" cy="1334770"/>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0" w:name="_Toc31292"/>
      <w:r>
        <w:rPr>
          <w:rFonts w:hint="eastAsia" w:ascii="宋体" w:hAnsi="宋体" w:eastAsia="宋体"/>
          <w:sz w:val="28"/>
          <w:szCs w:val="28"/>
          <w:lang w:val="en-US" w:eastAsia="zh-CN"/>
        </w:rPr>
        <w:t>院系科研主管领导/秘书</w:t>
      </w:r>
      <w:bookmarkEnd w:id="10"/>
    </w:p>
    <w:p>
      <w:pPr>
        <w:rPr>
          <w:rFonts w:hint="eastAsia"/>
          <w:lang w:val="en-US" w:eastAsia="zh-CN"/>
        </w:rPr>
      </w:pPr>
      <w:r>
        <w:rPr>
          <w:rFonts w:hint="eastAsia"/>
          <w:lang w:val="en-US" w:eastAsia="zh-CN"/>
        </w:rPr>
        <w:t>设置院系科研主管领导和秘书用于流程审批人，院系科研领导和秘书有权限查看本院系项目和经费。</w:t>
      </w:r>
    </w:p>
    <w:p>
      <w:pPr>
        <w:rPr>
          <w:rFonts w:hint="eastAsia"/>
          <w:lang w:val="en-US" w:eastAsia="zh-CN"/>
        </w:rPr>
      </w:pPr>
      <w:r>
        <w:rPr>
          <w:rFonts w:hint="eastAsia"/>
          <w:lang w:val="en-US" w:eastAsia="zh-CN"/>
        </w:rPr>
        <w:t>项目分类：横纵向是同一个人时就横向纵向都选；</w:t>
      </w:r>
    </w:p>
    <w:p>
      <w:pPr>
        <w:rPr>
          <w:rFonts w:hint="default"/>
          <w:lang w:val="en-US" w:eastAsia="zh-CN"/>
        </w:rPr>
      </w:pPr>
      <w:r>
        <w:rPr>
          <w:rFonts w:hint="eastAsia"/>
          <w:lang w:val="en-US" w:eastAsia="zh-CN"/>
        </w:rPr>
        <w:t>院系类别只是在查看院系联系人时方便按类别筛选，没有其他用处；</w:t>
      </w:r>
    </w:p>
    <w:p>
      <w:pPr>
        <w:rPr>
          <w:rFonts w:hint="default"/>
          <w:lang w:val="en-US" w:eastAsia="zh-CN"/>
        </w:rPr>
      </w:pPr>
      <w:r>
        <w:drawing>
          <wp:inline distT="0" distB="0" distL="114300" distR="114300">
            <wp:extent cx="4606925" cy="2379345"/>
            <wp:effectExtent l="0" t="0" r="3175" b="190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1"/>
                    <a:stretch>
                      <a:fillRect/>
                    </a:stretch>
                  </pic:blipFill>
                  <pic:spPr>
                    <a:xfrm>
                      <a:off x="0" y="0"/>
                      <a:ext cx="4606925" cy="2379345"/>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1" w:name="_Toc18778"/>
      <w:r>
        <w:rPr>
          <w:rFonts w:hint="eastAsia" w:ascii="宋体" w:hAnsi="宋体" w:eastAsia="宋体"/>
          <w:sz w:val="28"/>
          <w:szCs w:val="28"/>
          <w:lang w:val="en-US" w:eastAsia="zh-CN"/>
        </w:rPr>
        <w:t>院系所属校区</w:t>
      </w:r>
      <w:bookmarkEnd w:id="11"/>
    </w:p>
    <w:p>
      <w:pPr>
        <w:rPr>
          <w:rFonts w:hint="eastAsia"/>
          <w:lang w:val="en-US" w:eastAsia="zh-CN"/>
        </w:rPr>
      </w:pPr>
      <w:r>
        <w:rPr>
          <w:rFonts w:hint="eastAsia"/>
          <w:lang w:val="en-US" w:eastAsia="zh-CN"/>
        </w:rPr>
        <w:t>院系所属校区现在只设置了横向，横向项目立项时自动按校区获取科管部审批人；</w:t>
      </w:r>
    </w:p>
    <w:p>
      <w:pPr>
        <w:rPr>
          <w:rFonts w:hint="default"/>
          <w:lang w:val="en-US" w:eastAsia="zh-CN"/>
        </w:rPr>
      </w:pPr>
      <w:r>
        <w:rPr>
          <w:rFonts w:hint="eastAsia"/>
          <w:lang w:val="en-US" w:eastAsia="zh-CN"/>
        </w:rPr>
        <w:t>纵向仍是由立项发起人选择办理校区。</w:t>
      </w:r>
    </w:p>
    <w:p>
      <w:r>
        <w:drawing>
          <wp:inline distT="0" distB="0" distL="114300" distR="114300">
            <wp:extent cx="5262880" cy="92964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2"/>
                    <a:srcRect t="-601" b="27327"/>
                    <a:stretch>
                      <a:fillRect/>
                    </a:stretch>
                  </pic:blipFill>
                  <pic:spPr>
                    <a:xfrm>
                      <a:off x="0" y="0"/>
                      <a:ext cx="5262880" cy="929640"/>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2" w:name="_Toc27791"/>
      <w:r>
        <w:rPr>
          <w:rFonts w:hint="eastAsia" w:ascii="宋体" w:hAnsi="宋体" w:eastAsia="宋体"/>
          <w:sz w:val="28"/>
          <w:szCs w:val="28"/>
        </w:rPr>
        <w:t>科研</w:t>
      </w:r>
      <w:r>
        <w:rPr>
          <w:rFonts w:hint="eastAsia" w:ascii="宋体" w:hAnsi="宋体" w:eastAsia="宋体"/>
          <w:sz w:val="28"/>
          <w:szCs w:val="28"/>
          <w:lang w:val="en-US" w:eastAsia="zh-CN"/>
        </w:rPr>
        <w:t>领导</w:t>
      </w:r>
      <w:bookmarkEnd w:id="12"/>
    </w:p>
    <w:p>
      <w:pPr>
        <w:rPr>
          <w:rFonts w:hint="eastAsia"/>
          <w:lang w:val="en-US" w:eastAsia="zh-CN"/>
        </w:rPr>
      </w:pPr>
      <w:r>
        <w:rPr>
          <w:rFonts w:hint="eastAsia"/>
          <w:lang w:val="en-US" w:eastAsia="zh-CN"/>
        </w:rPr>
        <w:t>科管领导不参与流程审批，有权限查看相应类别的项目、经费、工作量。</w:t>
      </w:r>
    </w:p>
    <w:p>
      <w:pPr>
        <w:rPr>
          <w:rFonts w:hint="default" w:eastAsia="宋体"/>
          <w:lang w:val="en-US" w:eastAsia="zh-CN"/>
        </w:rPr>
      </w:pPr>
      <w:r>
        <w:rPr>
          <w:rFonts w:hint="eastAsia"/>
          <w:lang w:val="en-US" w:eastAsia="zh-CN"/>
        </w:rPr>
        <w:t>之前是只设置领导姓名，不能按项目分类、一二级类别设置，现增加了按类别设置，所有类别都能查看时选择通用（项目分类都查看时是把三个分类都选上）</w:t>
      </w:r>
    </w:p>
    <w:p>
      <w:r>
        <w:drawing>
          <wp:inline distT="0" distB="0" distL="114300" distR="114300">
            <wp:extent cx="4383405" cy="1837055"/>
            <wp:effectExtent l="0" t="0" r="17145" b="1079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3"/>
                    <a:stretch>
                      <a:fillRect/>
                    </a:stretch>
                  </pic:blipFill>
                  <pic:spPr>
                    <a:xfrm>
                      <a:off x="0" y="0"/>
                      <a:ext cx="4383405" cy="1837055"/>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3" w:name="_Toc29810"/>
      <w:r>
        <w:rPr>
          <w:rFonts w:hint="eastAsia" w:ascii="宋体" w:hAnsi="宋体" w:eastAsia="宋体"/>
          <w:sz w:val="28"/>
          <w:szCs w:val="28"/>
          <w:lang w:val="en-US" w:eastAsia="zh-CN"/>
        </w:rPr>
        <w:t>项目统计/经费统计权限</w:t>
      </w:r>
      <w:bookmarkEnd w:id="13"/>
    </w:p>
    <w:p>
      <w:pPr>
        <w:rPr>
          <w:rFonts w:hint="eastAsia"/>
          <w:lang w:val="en-US" w:eastAsia="zh-CN"/>
        </w:rPr>
      </w:pPr>
      <w:r>
        <w:rPr>
          <w:rFonts w:hint="eastAsia"/>
          <w:lang w:val="en-US" w:eastAsia="zh-CN"/>
        </w:rPr>
        <w:t>项目统计权限：查看相应类别的项目；</w:t>
      </w:r>
    </w:p>
    <w:p>
      <w:pPr>
        <w:rPr>
          <w:rFonts w:hint="default"/>
          <w:lang w:val="en-US" w:eastAsia="zh-CN"/>
        </w:rPr>
      </w:pPr>
      <w:r>
        <w:rPr>
          <w:rFonts w:hint="eastAsia"/>
          <w:lang w:val="en-US" w:eastAsia="zh-CN"/>
        </w:rPr>
        <w:t>经费统计权限：查看相应类别的经费和工作量；</w:t>
      </w:r>
    </w:p>
    <w:p>
      <w:r>
        <w:drawing>
          <wp:inline distT="0" distB="0" distL="114300" distR="114300">
            <wp:extent cx="5269230" cy="1805940"/>
            <wp:effectExtent l="0" t="0" r="7620" b="381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4"/>
                    <a:stretch>
                      <a:fillRect/>
                    </a:stretch>
                  </pic:blipFill>
                  <pic:spPr>
                    <a:xfrm>
                      <a:off x="0" y="0"/>
                      <a:ext cx="5269230" cy="1805940"/>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4" w:name="_Toc24242"/>
      <w:r>
        <w:rPr>
          <w:rFonts w:hint="eastAsia" w:ascii="宋体" w:hAnsi="宋体" w:eastAsia="宋体"/>
          <w:sz w:val="28"/>
          <w:szCs w:val="28"/>
          <w:lang w:val="en-US" w:eastAsia="zh-CN"/>
        </w:rPr>
        <w:t>财务助管</w:t>
      </w:r>
      <w:bookmarkEnd w:id="14"/>
    </w:p>
    <w:p>
      <w:pPr>
        <w:rPr>
          <w:rFonts w:hint="eastAsia"/>
          <w:lang w:val="en-US" w:eastAsia="zh-CN"/>
        </w:rPr>
      </w:pPr>
      <w:r>
        <w:rPr>
          <w:rFonts w:hint="eastAsia"/>
          <w:lang w:val="en-US" w:eastAsia="zh-CN"/>
        </w:rPr>
        <w:t>财务预算业务人员的助管，能看到当前在财务环节的立项单据，帮助财务预算办理人下载、导出项目的科研预算信息</w:t>
      </w:r>
    </w:p>
    <w:p>
      <w:pPr>
        <w:rPr>
          <w:rFonts w:hint="default"/>
          <w:lang w:val="en-US" w:eastAsia="zh-CN"/>
        </w:rPr>
      </w:pPr>
      <w:r>
        <w:rPr>
          <w:rFonts w:hint="eastAsia"/>
          <w:lang w:val="en-US" w:eastAsia="zh-CN"/>
        </w:rPr>
        <w:t>财务助管能看到的菜单，两个列表都是当前流转到财务环节的单据</w:t>
      </w:r>
    </w:p>
    <w:p>
      <w:pPr>
        <w:rPr>
          <w:rFonts w:hint="default"/>
          <w:lang w:val="en-US" w:eastAsia="zh-CN"/>
        </w:rPr>
      </w:pPr>
      <w:r>
        <w:drawing>
          <wp:inline distT="0" distB="0" distL="114300" distR="114300">
            <wp:extent cx="3253740" cy="1132840"/>
            <wp:effectExtent l="9525" t="9525" r="13335" b="1968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5"/>
                    <a:stretch>
                      <a:fillRect/>
                    </a:stretch>
                  </pic:blipFill>
                  <pic:spPr>
                    <a:xfrm>
                      <a:off x="0" y="0"/>
                      <a:ext cx="3253740" cy="1132840"/>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5" w:name="_Toc22252"/>
      <w:r>
        <w:rPr>
          <w:rFonts w:hint="eastAsia" w:ascii="宋体" w:hAnsi="宋体" w:eastAsia="宋体"/>
          <w:sz w:val="28"/>
          <w:szCs w:val="28"/>
          <w:lang w:val="en-US" w:eastAsia="zh-CN"/>
        </w:rPr>
        <w:t>财务人员</w:t>
      </w:r>
      <w:bookmarkEnd w:id="15"/>
    </w:p>
    <w:p>
      <w:pPr>
        <w:rPr>
          <w:rFonts w:hint="default" w:eastAsia="宋体"/>
          <w:lang w:val="en-US" w:eastAsia="zh-CN"/>
        </w:rPr>
      </w:pPr>
      <w:r>
        <w:rPr>
          <w:rFonts w:hint="eastAsia"/>
          <w:lang w:val="en-US" w:eastAsia="zh-CN"/>
        </w:rPr>
        <w:t>各流程财务环节的审批人，按校区、流程名称配置</w:t>
      </w:r>
    </w:p>
    <w:p>
      <w:r>
        <w:drawing>
          <wp:inline distT="0" distB="0" distL="114300" distR="114300">
            <wp:extent cx="5271770" cy="2707640"/>
            <wp:effectExtent l="0" t="0" r="5080" b="1651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6"/>
                    <a:stretch>
                      <a:fillRect/>
                    </a:stretch>
                  </pic:blipFill>
                  <pic:spPr>
                    <a:xfrm>
                      <a:off x="0" y="0"/>
                      <a:ext cx="5271770" cy="2707640"/>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6" w:name="_Toc21311"/>
      <w:r>
        <w:rPr>
          <w:rFonts w:hint="eastAsia" w:ascii="宋体" w:hAnsi="宋体" w:eastAsia="宋体"/>
          <w:sz w:val="28"/>
          <w:szCs w:val="28"/>
          <w:lang w:val="en-US" w:eastAsia="zh-CN"/>
        </w:rPr>
        <w:t>项目类别</w:t>
      </w:r>
      <w:bookmarkEnd w:id="16"/>
    </w:p>
    <w:p>
      <w:pPr>
        <w:rPr>
          <w:rFonts w:hint="eastAsia"/>
          <w:lang w:val="en-US" w:eastAsia="zh-CN"/>
        </w:rPr>
      </w:pPr>
      <w:r>
        <w:rPr>
          <w:rFonts w:hint="eastAsia"/>
          <w:lang w:val="en-US" w:eastAsia="zh-CN"/>
        </w:rPr>
        <w:t>设置了项目一二级类别以后要在“项目类别”里设置与一二级类别与项目分类、项目大类的对应关系。</w:t>
      </w:r>
    </w:p>
    <w:p>
      <w:pPr>
        <w:rPr>
          <w:rFonts w:hint="eastAsia"/>
          <w:lang w:val="en-US" w:eastAsia="zh-CN"/>
        </w:rPr>
      </w:pPr>
      <w:r>
        <w:rPr>
          <w:rFonts w:hint="eastAsia"/>
          <w:lang w:val="en-US" w:eastAsia="zh-CN"/>
        </w:rPr>
        <w:t>说明：新版本的设置如果数据字典那里把项目一二级类别名称、编码修改以后直接生效，不用再到一二级类别、项目来源、参与方式、项目级别这些设置里分别设一遍了。</w:t>
      </w:r>
    </w:p>
    <w:p>
      <w:pPr>
        <w:rPr>
          <w:rFonts w:hint="default"/>
          <w:lang w:val="en-US" w:eastAsia="zh-CN"/>
        </w:rPr>
      </w:pPr>
      <w:r>
        <w:rPr>
          <w:rFonts w:hint="eastAsia"/>
          <w:lang w:val="en-US" w:eastAsia="zh-CN"/>
        </w:rPr>
        <w:t>横向、纵向的项目类别分别设置：</w:t>
      </w:r>
    </w:p>
    <w:p>
      <w:pPr>
        <w:rPr>
          <w:rFonts w:hint="default"/>
          <w:lang w:val="en-US" w:eastAsia="zh-CN"/>
        </w:rPr>
      </w:pPr>
      <w:r>
        <w:drawing>
          <wp:inline distT="0" distB="0" distL="114300" distR="114300">
            <wp:extent cx="1852930" cy="899795"/>
            <wp:effectExtent l="9525" t="9525" r="23495" b="2413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7"/>
                    <a:stretch>
                      <a:fillRect/>
                    </a:stretch>
                  </pic:blipFill>
                  <pic:spPr>
                    <a:xfrm>
                      <a:off x="0" y="0"/>
                      <a:ext cx="1852930" cy="899795"/>
                    </a:xfrm>
                    <a:prstGeom prst="rect">
                      <a:avLst/>
                    </a:prstGeom>
                    <a:noFill/>
                    <a:ln>
                      <a:solidFill>
                        <a:srgbClr val="0000FF"/>
                      </a:solidFill>
                    </a:ln>
                  </pic:spPr>
                </pic:pic>
              </a:graphicData>
            </a:graphic>
          </wp:inline>
        </w:drawing>
      </w:r>
      <w:r>
        <w:rPr>
          <w:rFonts w:hint="eastAsia"/>
          <w:lang w:val="en-US" w:eastAsia="zh-CN"/>
        </w:rPr>
        <w:t xml:space="preserve">    </w:t>
      </w:r>
      <w:r>
        <w:drawing>
          <wp:inline distT="0" distB="0" distL="114300" distR="114300">
            <wp:extent cx="2815590" cy="899795"/>
            <wp:effectExtent l="9525" t="9525" r="13335" b="24130"/>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18"/>
                    <a:stretch>
                      <a:fillRect/>
                    </a:stretch>
                  </pic:blipFill>
                  <pic:spPr>
                    <a:xfrm>
                      <a:off x="0" y="0"/>
                      <a:ext cx="2815590" cy="899795"/>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7" w:name="_Toc20848"/>
      <w:r>
        <w:rPr>
          <w:rFonts w:hint="eastAsia" w:ascii="宋体" w:hAnsi="宋体" w:eastAsia="宋体"/>
          <w:sz w:val="28"/>
          <w:szCs w:val="28"/>
          <w:lang w:val="en-US" w:eastAsia="zh-CN"/>
        </w:rPr>
        <w:t>经费卡号类别</w:t>
      </w:r>
      <w:bookmarkEnd w:id="17"/>
    </w:p>
    <w:p>
      <w:pPr>
        <w:rPr>
          <w:rFonts w:hint="eastAsia"/>
          <w:lang w:val="en-US" w:eastAsia="zh-CN"/>
        </w:rPr>
      </w:pPr>
      <w:r>
        <w:rPr>
          <w:rFonts w:hint="eastAsia"/>
          <w:lang w:val="en-US" w:eastAsia="zh-CN"/>
        </w:rPr>
        <w:t>设置二级类别与经费卡类别的对应关系，目的是在立项时选择了一二级类别后自动带出对应的经费卡类别</w:t>
      </w:r>
    </w:p>
    <w:p>
      <w:pPr>
        <w:rPr>
          <w:rFonts w:hint="eastAsia"/>
          <w:lang w:val="en-US" w:eastAsia="zh-CN"/>
        </w:rPr>
      </w:pPr>
      <w:r>
        <w:rPr>
          <w:rFonts w:hint="eastAsia"/>
          <w:lang w:val="en-US" w:eastAsia="zh-CN"/>
        </w:rPr>
        <w:t>设置方式改成了用树形目录选择二级类别</w:t>
      </w:r>
    </w:p>
    <w:p>
      <w:pPr>
        <w:rPr>
          <w:rFonts w:hint="default"/>
          <w:lang w:val="en-US" w:eastAsia="zh-CN"/>
        </w:rPr>
      </w:pPr>
      <w:r>
        <w:rPr>
          <w:rFonts w:hint="eastAsia"/>
          <w:lang w:val="en-US" w:eastAsia="zh-CN"/>
        </w:rPr>
        <w:t>横向纵向的经费卡类别分开设置</w:t>
      </w:r>
    </w:p>
    <w:p>
      <w:r>
        <w:drawing>
          <wp:inline distT="0" distB="0" distL="114300" distR="114300">
            <wp:extent cx="5273040" cy="3611880"/>
            <wp:effectExtent l="0" t="0" r="3810" b="762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19"/>
                    <a:stretch>
                      <a:fillRect/>
                    </a:stretch>
                  </pic:blipFill>
                  <pic:spPr>
                    <a:xfrm>
                      <a:off x="0" y="0"/>
                      <a:ext cx="5273040" cy="3611880"/>
                    </a:xfrm>
                    <a:prstGeom prst="rect">
                      <a:avLst/>
                    </a:prstGeom>
                    <a:noFill/>
                    <a:ln>
                      <a:noFill/>
                    </a:ln>
                  </pic:spPr>
                </pic:pic>
              </a:graphicData>
            </a:graphic>
          </wp:inline>
        </w:drawing>
      </w:r>
    </w:p>
    <w:p/>
    <w:p>
      <w:pPr>
        <w:rPr>
          <w:rFonts w:hint="eastAsia"/>
          <w:lang w:val="en-US" w:eastAsia="zh-CN"/>
        </w:rPr>
      </w:pPr>
      <w:r>
        <w:rPr>
          <w:rFonts w:hint="eastAsia"/>
          <w:lang w:val="en-US" w:eastAsia="zh-CN"/>
        </w:rPr>
        <w:t>说明：</w:t>
      </w:r>
    </w:p>
    <w:p>
      <w:pPr>
        <w:rPr>
          <w:rFonts w:hint="default" w:eastAsia="宋体"/>
          <w:lang w:val="en-US" w:eastAsia="zh-CN"/>
        </w:rPr>
      </w:pPr>
      <w:r>
        <w:rPr>
          <w:rFonts w:hint="eastAsia"/>
          <w:lang w:val="en-US" w:eastAsia="zh-CN"/>
        </w:rPr>
        <w:t>纵向项目的项目来源、参与方式、项目级别都改成了用树形目录选择二级类别的方式。</w:t>
      </w:r>
    </w:p>
    <w:p>
      <w:pPr>
        <w:pStyle w:val="3"/>
        <w:numPr>
          <w:ilvl w:val="1"/>
          <w:numId w:val="2"/>
        </w:numPr>
        <w:spacing w:after="0" w:line="413" w:lineRule="auto"/>
        <w:ind w:left="578" w:hanging="578"/>
        <w:rPr>
          <w:rFonts w:ascii="宋体" w:hAnsi="宋体" w:eastAsia="宋体"/>
          <w:sz w:val="28"/>
          <w:szCs w:val="28"/>
        </w:rPr>
      </w:pPr>
      <w:bookmarkStart w:id="18" w:name="_Toc22229"/>
      <w:r>
        <w:rPr>
          <w:rFonts w:hint="eastAsia" w:ascii="宋体" w:hAnsi="宋体" w:eastAsia="宋体"/>
          <w:sz w:val="28"/>
          <w:szCs w:val="28"/>
          <w:lang w:val="en-US" w:eastAsia="zh-CN"/>
        </w:rPr>
        <w:t>课题关系配置</w:t>
      </w:r>
      <w:bookmarkEnd w:id="18"/>
    </w:p>
    <w:p>
      <w:pPr>
        <w:rPr>
          <w:rFonts w:hint="default" w:eastAsia="宋体"/>
          <w:lang w:val="en-US" w:eastAsia="zh-CN"/>
        </w:rPr>
      </w:pPr>
      <w:r>
        <w:rPr>
          <w:rFonts w:hint="eastAsia"/>
          <w:lang w:val="en-US" w:eastAsia="zh-CN"/>
        </w:rPr>
        <w:t>纵向项目使用，有层级关系的二级类别，在设置了课题关系以后才能显示出层级关系，系统严格按照课题编号的长度，识别位数加载层级关系。</w:t>
      </w:r>
    </w:p>
    <w:p>
      <w:r>
        <w:drawing>
          <wp:inline distT="0" distB="0" distL="114300" distR="114300">
            <wp:extent cx="5116830" cy="1725295"/>
            <wp:effectExtent l="0" t="0" r="7620" b="8255"/>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20"/>
                    <a:stretch>
                      <a:fillRect/>
                    </a:stretch>
                  </pic:blipFill>
                  <pic:spPr>
                    <a:xfrm>
                      <a:off x="0" y="0"/>
                      <a:ext cx="5116830" cy="1725295"/>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9" w:name="_Toc31339"/>
      <w:r>
        <w:rPr>
          <w:rFonts w:hint="eastAsia" w:ascii="宋体" w:hAnsi="宋体" w:eastAsia="宋体"/>
          <w:sz w:val="28"/>
          <w:szCs w:val="28"/>
          <w:lang w:val="en-US" w:eastAsia="zh-CN"/>
        </w:rPr>
        <w:t>项目类别与甲方单位国别关系</w:t>
      </w:r>
      <w:bookmarkEnd w:id="19"/>
    </w:p>
    <w:p>
      <w:pPr>
        <w:rPr>
          <w:rFonts w:hint="eastAsia"/>
          <w:lang w:val="en-US" w:eastAsia="zh-CN"/>
        </w:rPr>
      </w:pPr>
      <w:r>
        <w:rPr>
          <w:rFonts w:hint="eastAsia"/>
          <w:lang w:val="en-US" w:eastAsia="zh-CN"/>
        </w:rPr>
        <w:t>纵向项目使用，设置了默认的甲方单位国别城市的，立项时按一二级类别自动带出甲方单位国别地区</w:t>
      </w:r>
    </w:p>
    <w:p>
      <w:pPr>
        <w:rPr>
          <w:rFonts w:hint="default"/>
          <w:lang w:val="en-US" w:eastAsia="zh-CN"/>
        </w:rPr>
      </w:pPr>
      <w:r>
        <w:drawing>
          <wp:inline distT="0" distB="0" distL="114300" distR="114300">
            <wp:extent cx="5036820" cy="2462530"/>
            <wp:effectExtent l="0" t="0" r="11430" b="1397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21"/>
                    <a:stretch>
                      <a:fillRect/>
                    </a:stretch>
                  </pic:blipFill>
                  <pic:spPr>
                    <a:xfrm>
                      <a:off x="0" y="0"/>
                      <a:ext cx="5036820" cy="2462530"/>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20" w:name="_Toc6475"/>
      <w:r>
        <w:rPr>
          <w:rFonts w:hint="eastAsia" w:ascii="宋体" w:hAnsi="宋体" w:eastAsia="宋体"/>
          <w:sz w:val="28"/>
          <w:szCs w:val="28"/>
          <w:lang w:val="en-US" w:eastAsia="zh-CN"/>
        </w:rPr>
        <w:t>权限设置</w:t>
      </w:r>
      <w:bookmarkEnd w:id="20"/>
    </w:p>
    <w:p>
      <w:pPr>
        <w:rPr>
          <w:rFonts w:hint="eastAsia"/>
          <w:lang w:val="en-US" w:eastAsia="zh-CN"/>
        </w:rPr>
      </w:pPr>
      <w:r>
        <w:rPr>
          <w:rFonts w:hint="eastAsia"/>
          <w:lang w:val="en-US" w:eastAsia="zh-CN"/>
        </w:rPr>
        <w:t>纵向项目设置项目业务主管、经费业务主管，</w:t>
      </w:r>
    </w:p>
    <w:p>
      <w:pPr>
        <w:rPr>
          <w:rFonts w:hint="eastAsia"/>
          <w:lang w:val="en-US" w:eastAsia="zh-CN"/>
        </w:rPr>
      </w:pPr>
      <w:r>
        <w:rPr>
          <w:rFonts w:hint="eastAsia"/>
          <w:lang w:val="en-US" w:eastAsia="zh-CN"/>
        </w:rPr>
        <w:t>横向分别设置科管部项目业务负责人、项目业务主管、项目业务员，经费业务主管、经费业务员、255 256卡领导秘书、校企项目领导秘书。</w:t>
      </w:r>
    </w:p>
    <w:p>
      <w:pPr>
        <w:rPr>
          <w:rFonts w:hint="default"/>
          <w:b w:val="0"/>
          <w:bCs w:val="0"/>
          <w:lang w:val="en-US" w:eastAsia="zh-CN"/>
        </w:rPr>
      </w:pPr>
      <w:r>
        <w:rPr>
          <w:rFonts w:hint="eastAsia"/>
          <w:lang w:val="en-US" w:eastAsia="zh-CN"/>
        </w:rPr>
        <w:t>科管部有些人既是项目主管、又是某些类别的业务员，为了方便这些人员在系统中查询项目时不用频繁切换角色，把横向的科管部审批人</w:t>
      </w:r>
      <w:r>
        <w:rPr>
          <w:rFonts w:hint="eastAsia"/>
          <w:b w:val="0"/>
          <w:bCs w:val="0"/>
          <w:lang w:val="en-US" w:eastAsia="zh-CN"/>
        </w:rPr>
        <w:t>都归为项目主管角色。</w:t>
      </w:r>
    </w:p>
    <w:p>
      <w:pPr>
        <w:rPr>
          <w:rFonts w:hint="eastAsia"/>
          <w:lang w:val="en-US" w:eastAsia="zh-CN"/>
        </w:rPr>
      </w:pPr>
      <w:r>
        <w:rPr>
          <w:rFonts w:hint="eastAsia"/>
          <w:lang w:val="en-US" w:eastAsia="zh-CN"/>
        </w:rPr>
        <w:t>他们在审批时仍是分段审批，做项目查询、项目统计时都使用“项目主管”角色。</w:t>
      </w:r>
    </w:p>
    <w:p>
      <w:pPr>
        <w:rPr>
          <w:rFonts w:hint="default"/>
          <w:lang w:val="en-US" w:eastAsia="zh-CN"/>
        </w:rPr>
      </w:pPr>
      <w:r>
        <w:drawing>
          <wp:inline distT="0" distB="0" distL="114300" distR="114300">
            <wp:extent cx="2227580" cy="1188085"/>
            <wp:effectExtent l="0" t="0" r="1270" b="1206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22"/>
                    <a:stretch>
                      <a:fillRect/>
                    </a:stretch>
                  </pic:blipFill>
                  <pic:spPr>
                    <a:xfrm>
                      <a:off x="0" y="0"/>
                      <a:ext cx="2227580" cy="1188085"/>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21" w:name="_Toc28914"/>
      <w:r>
        <w:rPr>
          <w:rFonts w:hint="eastAsia" w:ascii="宋体" w:hAnsi="宋体" w:eastAsia="宋体"/>
          <w:sz w:val="28"/>
          <w:szCs w:val="28"/>
          <w:lang w:val="en-US" w:eastAsia="zh-CN"/>
        </w:rPr>
        <w:t>经费类别、经费提扣项目</w:t>
      </w:r>
      <w:bookmarkEnd w:id="21"/>
    </w:p>
    <w:p>
      <w:pPr>
        <w:rPr>
          <w:rFonts w:hint="default" w:eastAsia="宋体"/>
          <w:lang w:val="en-US" w:eastAsia="zh-CN"/>
        </w:rPr>
      </w:pPr>
      <w:r>
        <w:rPr>
          <w:rFonts w:hint="eastAsia"/>
          <w:lang w:val="en-US" w:eastAsia="zh-CN"/>
        </w:rPr>
        <w:t>这两个设置是固定的，一般不会去修改</w:t>
      </w:r>
    </w:p>
    <w:p>
      <w:r>
        <w:drawing>
          <wp:inline distT="0" distB="0" distL="114300" distR="114300">
            <wp:extent cx="3607435" cy="1183005"/>
            <wp:effectExtent l="0" t="0" r="12065" b="17145"/>
            <wp:docPr id="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pic:cNvPicPr>
                      <a:picLocks noChangeAspect="1"/>
                    </pic:cNvPicPr>
                  </pic:nvPicPr>
                  <pic:blipFill>
                    <a:blip r:embed="rId23"/>
                    <a:stretch>
                      <a:fillRect/>
                    </a:stretch>
                  </pic:blipFill>
                  <pic:spPr>
                    <a:xfrm>
                      <a:off x="0" y="0"/>
                      <a:ext cx="3607435" cy="1183005"/>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22" w:name="_Toc6548"/>
      <w:r>
        <w:rPr>
          <w:rFonts w:hint="eastAsia" w:ascii="宋体" w:hAnsi="宋体" w:eastAsia="宋体"/>
          <w:sz w:val="28"/>
          <w:szCs w:val="28"/>
          <w:lang w:val="en-US" w:eastAsia="zh-CN"/>
        </w:rPr>
        <w:t>经费提扣方案</w:t>
      </w:r>
      <w:bookmarkEnd w:id="22"/>
    </w:p>
    <w:p>
      <w:pPr>
        <w:rPr>
          <w:rFonts w:hint="eastAsia"/>
          <w:lang w:val="en-US" w:eastAsia="zh-CN"/>
        </w:rPr>
      </w:pPr>
      <w:r>
        <w:rPr>
          <w:rFonts w:hint="eastAsia"/>
          <w:lang w:val="en-US" w:eastAsia="zh-CN"/>
        </w:rPr>
        <w:t>设置经费提扣方案，横向纵向分别设置。</w:t>
      </w:r>
    </w:p>
    <w:p>
      <w:pPr>
        <w:rPr>
          <w:rFonts w:hint="eastAsia"/>
          <w:lang w:val="en-US" w:eastAsia="zh-CN"/>
        </w:rPr>
      </w:pPr>
      <w:r>
        <w:rPr>
          <w:rFonts w:hint="eastAsia"/>
          <w:lang w:val="en-US" w:eastAsia="zh-CN"/>
        </w:rPr>
        <w:t>纵向的经费提扣方案</w:t>
      </w:r>
    </w:p>
    <w:p>
      <w:r>
        <w:drawing>
          <wp:inline distT="0" distB="0" distL="114300" distR="114300">
            <wp:extent cx="5262245" cy="2327910"/>
            <wp:effectExtent l="9525" t="9525" r="24130" b="24765"/>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24"/>
                    <a:stretch>
                      <a:fillRect/>
                    </a:stretch>
                  </pic:blipFill>
                  <pic:spPr>
                    <a:xfrm>
                      <a:off x="0" y="0"/>
                      <a:ext cx="5262245" cy="2327910"/>
                    </a:xfrm>
                    <a:prstGeom prst="rect">
                      <a:avLst/>
                    </a:prstGeom>
                    <a:noFill/>
                    <a:ln>
                      <a:solidFill>
                        <a:srgbClr val="0000FF"/>
                      </a:solidFill>
                    </a:ln>
                  </pic:spPr>
                </pic:pic>
              </a:graphicData>
            </a:graphic>
          </wp:inline>
        </w:drawing>
      </w:r>
    </w:p>
    <w:p>
      <w:pPr>
        <w:rPr>
          <w:rFonts w:hint="eastAsia"/>
          <w:lang w:val="en-US" w:eastAsia="zh-CN"/>
        </w:rPr>
      </w:pPr>
      <w:r>
        <w:rPr>
          <w:rFonts w:hint="eastAsia"/>
          <w:lang w:val="en-US" w:eastAsia="zh-CN"/>
        </w:rPr>
        <w:t>纵向的经费方案在方案编辑时主要是要指定是编制/非编制的</w:t>
      </w:r>
    </w:p>
    <w:p>
      <w:r>
        <w:drawing>
          <wp:inline distT="0" distB="0" distL="114300" distR="114300">
            <wp:extent cx="4477385" cy="2042795"/>
            <wp:effectExtent l="0" t="0" r="18415" b="14605"/>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pic:cNvPicPr>
                      <a:picLocks noChangeAspect="1"/>
                    </pic:cNvPicPr>
                  </pic:nvPicPr>
                  <pic:blipFill>
                    <a:blip r:embed="rId25"/>
                    <a:stretch>
                      <a:fillRect/>
                    </a:stretch>
                  </pic:blipFill>
                  <pic:spPr>
                    <a:xfrm>
                      <a:off x="0" y="0"/>
                      <a:ext cx="4477385" cy="2042795"/>
                    </a:xfrm>
                    <a:prstGeom prst="rect">
                      <a:avLst/>
                    </a:prstGeom>
                    <a:noFill/>
                    <a:ln>
                      <a:noFill/>
                    </a:ln>
                  </pic:spPr>
                </pic:pic>
              </a:graphicData>
            </a:graphic>
          </wp:inline>
        </w:drawing>
      </w:r>
    </w:p>
    <w:p>
      <w:pPr>
        <w:rPr>
          <w:rFonts w:hint="default"/>
          <w:lang w:val="en-US" w:eastAsia="zh-CN"/>
        </w:rPr>
      </w:pPr>
      <w:r>
        <w:rPr>
          <w:rFonts w:hint="eastAsia"/>
          <w:lang w:val="en-US" w:eastAsia="zh-CN"/>
        </w:rPr>
        <w:t>然后编辑方案明细，提扣类型都是“按比例”</w:t>
      </w:r>
    </w:p>
    <w:p>
      <w:r>
        <w:drawing>
          <wp:inline distT="0" distB="0" distL="114300" distR="114300">
            <wp:extent cx="5267325" cy="1736090"/>
            <wp:effectExtent l="0" t="0" r="9525" b="16510"/>
            <wp:docPr id="2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0"/>
                    <pic:cNvPicPr>
                      <a:picLocks noChangeAspect="1"/>
                    </pic:cNvPicPr>
                  </pic:nvPicPr>
                  <pic:blipFill>
                    <a:blip r:embed="rId26"/>
                    <a:stretch>
                      <a:fillRect/>
                    </a:stretch>
                  </pic:blipFill>
                  <pic:spPr>
                    <a:xfrm>
                      <a:off x="0" y="0"/>
                      <a:ext cx="5267325" cy="1736090"/>
                    </a:xfrm>
                    <a:prstGeom prst="rect">
                      <a:avLst/>
                    </a:prstGeom>
                    <a:noFill/>
                    <a:ln>
                      <a:noFill/>
                    </a:ln>
                  </pic:spPr>
                </pic:pic>
              </a:graphicData>
            </a:graphic>
          </wp:inline>
        </w:drawing>
      </w:r>
    </w:p>
    <w:p/>
    <w:p>
      <w:pPr>
        <w:rPr>
          <w:rFonts w:hint="default"/>
          <w:lang w:val="en-US" w:eastAsia="zh-CN"/>
        </w:rPr>
      </w:pPr>
      <w:r>
        <w:rPr>
          <w:rFonts w:hint="eastAsia"/>
          <w:lang w:val="en-US" w:eastAsia="zh-CN"/>
        </w:rPr>
        <w:t>横向的经费提扣方案都是阶梯方案，阶梯方案的每一档是一个子方案，然后在子方案里设置各项提扣明细</w:t>
      </w:r>
    </w:p>
    <w:p>
      <w:pPr>
        <w:rPr>
          <w:rFonts w:hint="default"/>
          <w:lang w:val="en-US" w:eastAsia="zh-CN"/>
        </w:rPr>
      </w:pPr>
      <w:r>
        <w:drawing>
          <wp:inline distT="0" distB="0" distL="114300" distR="114300">
            <wp:extent cx="5264785" cy="1115695"/>
            <wp:effectExtent l="9525" t="9525" r="21590" b="17780"/>
            <wp:docPr id="2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1"/>
                    <pic:cNvPicPr>
                      <a:picLocks noChangeAspect="1"/>
                    </pic:cNvPicPr>
                  </pic:nvPicPr>
                  <pic:blipFill>
                    <a:blip r:embed="rId27"/>
                    <a:stretch>
                      <a:fillRect/>
                    </a:stretch>
                  </pic:blipFill>
                  <pic:spPr>
                    <a:xfrm>
                      <a:off x="0" y="0"/>
                      <a:ext cx="5264785" cy="1115695"/>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23" w:name="_Toc27547"/>
      <w:r>
        <w:rPr>
          <w:rFonts w:hint="eastAsia" w:ascii="宋体" w:hAnsi="宋体" w:eastAsia="宋体"/>
          <w:sz w:val="28"/>
          <w:szCs w:val="28"/>
          <w:lang w:val="en-US" w:eastAsia="zh-CN"/>
        </w:rPr>
        <w:t>经费提扣比例</w:t>
      </w:r>
      <w:bookmarkEnd w:id="23"/>
    </w:p>
    <w:p>
      <w:pPr>
        <w:rPr>
          <w:rFonts w:hint="eastAsia"/>
          <w:lang w:val="en-US" w:eastAsia="zh-CN"/>
        </w:rPr>
      </w:pPr>
      <w:r>
        <w:rPr>
          <w:rFonts w:hint="eastAsia"/>
          <w:lang w:val="en-US" w:eastAsia="zh-CN"/>
        </w:rPr>
        <w:t>设置项目与提扣方案的对应关系</w:t>
      </w:r>
    </w:p>
    <w:p>
      <w:pPr>
        <w:rPr>
          <w:rFonts w:hint="eastAsia"/>
          <w:lang w:val="en-US" w:eastAsia="zh-CN"/>
        </w:rPr>
      </w:pPr>
      <w:r>
        <w:rPr>
          <w:rFonts w:hint="eastAsia"/>
          <w:lang w:val="en-US" w:eastAsia="zh-CN"/>
        </w:rPr>
        <w:t>纵向是按一二级类别+经费卡类别对应不同的方案；横向是按学院对应提扣方案</w:t>
      </w:r>
    </w:p>
    <w:p>
      <w:pPr>
        <w:rPr>
          <w:rFonts w:hint="eastAsia"/>
          <w:lang w:val="en-US" w:eastAsia="zh-CN"/>
        </w:rPr>
      </w:pPr>
      <w:r>
        <w:drawing>
          <wp:inline distT="0" distB="0" distL="114300" distR="114300">
            <wp:extent cx="5267325" cy="871220"/>
            <wp:effectExtent l="9525" t="9525" r="19050" b="14605"/>
            <wp:docPr id="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pic:cNvPicPr>
                      <a:picLocks noChangeAspect="1"/>
                    </pic:cNvPicPr>
                  </pic:nvPicPr>
                  <pic:blipFill>
                    <a:blip r:embed="rId28"/>
                    <a:stretch>
                      <a:fillRect/>
                    </a:stretch>
                  </pic:blipFill>
                  <pic:spPr>
                    <a:xfrm>
                      <a:off x="0" y="0"/>
                      <a:ext cx="5267325" cy="871220"/>
                    </a:xfrm>
                    <a:prstGeom prst="rect">
                      <a:avLst/>
                    </a:prstGeom>
                    <a:noFill/>
                    <a:ln>
                      <a:solidFill>
                        <a:srgbClr val="0000FF"/>
                      </a:solidFill>
                    </a:ln>
                  </pic:spPr>
                </pic:pic>
              </a:graphicData>
            </a:graphic>
          </wp:inline>
        </w:drawing>
      </w:r>
    </w:p>
    <w:p>
      <w:pPr>
        <w:rPr>
          <w:rFonts w:hint="default"/>
          <w:lang w:val="en-US" w:eastAsia="zh-CN"/>
        </w:rPr>
      </w:pPr>
      <w:r>
        <w:drawing>
          <wp:inline distT="0" distB="0" distL="114300" distR="114300">
            <wp:extent cx="5273675" cy="1306830"/>
            <wp:effectExtent l="9525" t="9525" r="12700" b="17145"/>
            <wp:docPr id="2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2"/>
                    <pic:cNvPicPr>
                      <a:picLocks noChangeAspect="1"/>
                    </pic:cNvPicPr>
                  </pic:nvPicPr>
                  <pic:blipFill>
                    <a:blip r:embed="rId29"/>
                    <a:stretch>
                      <a:fillRect/>
                    </a:stretch>
                  </pic:blipFill>
                  <pic:spPr>
                    <a:xfrm>
                      <a:off x="0" y="0"/>
                      <a:ext cx="5273675" cy="1306830"/>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24" w:name="_Toc16818"/>
      <w:r>
        <w:rPr>
          <w:rFonts w:hint="eastAsia" w:ascii="宋体" w:hAnsi="宋体" w:eastAsia="宋体"/>
          <w:sz w:val="28"/>
          <w:szCs w:val="28"/>
          <w:lang w:val="en-US" w:eastAsia="zh-CN"/>
        </w:rPr>
        <w:t>提现比例</w:t>
      </w:r>
      <w:bookmarkEnd w:id="24"/>
    </w:p>
    <w:p>
      <w:pPr>
        <w:rPr>
          <w:rFonts w:hint="default" w:eastAsia="宋体"/>
          <w:lang w:val="en-US" w:eastAsia="zh-CN"/>
        </w:rPr>
      </w:pPr>
      <w:r>
        <w:rPr>
          <w:rFonts w:hint="eastAsia"/>
          <w:lang w:val="en-US" w:eastAsia="zh-CN"/>
        </w:rPr>
        <w:t>纵向项目专有的，没有设置提现比例的类别，默认提现比例是0；</w:t>
      </w:r>
    </w:p>
    <w:p>
      <w:pPr>
        <w:pStyle w:val="3"/>
        <w:numPr>
          <w:ilvl w:val="1"/>
          <w:numId w:val="2"/>
        </w:numPr>
        <w:spacing w:after="0" w:line="413" w:lineRule="auto"/>
        <w:ind w:left="578" w:hanging="578"/>
        <w:rPr>
          <w:rFonts w:ascii="宋体" w:hAnsi="宋体" w:eastAsia="宋体"/>
          <w:sz w:val="28"/>
          <w:szCs w:val="28"/>
        </w:rPr>
      </w:pPr>
      <w:bookmarkStart w:id="25" w:name="_Toc2834"/>
      <w:r>
        <w:rPr>
          <w:rFonts w:hint="eastAsia" w:ascii="宋体" w:hAnsi="宋体" w:eastAsia="宋体"/>
          <w:sz w:val="28"/>
          <w:szCs w:val="28"/>
          <w:lang w:val="en-US" w:eastAsia="zh-CN"/>
        </w:rPr>
        <w:t>外包到账限额配置</w:t>
      </w:r>
      <w:bookmarkEnd w:id="25"/>
    </w:p>
    <w:p>
      <w:pPr>
        <w:rPr>
          <w:rFonts w:hint="default"/>
          <w:lang w:val="en-US" w:eastAsia="zh-CN"/>
        </w:rPr>
      </w:pPr>
      <w:r>
        <w:rPr>
          <w:rFonts w:hint="eastAsia"/>
          <w:lang w:val="en-US" w:eastAsia="zh-CN"/>
        </w:rPr>
        <w:t>设置是否限制经费认领时外包金额按合同金额的比例到账，按项目类别设置了开启的才会校验外包到账是否超出了累计到账金额的比例。</w:t>
      </w:r>
    </w:p>
    <w:p>
      <w:pPr>
        <w:rPr>
          <w:rFonts w:hint="default"/>
          <w:lang w:val="en-US" w:eastAsia="zh-CN"/>
        </w:rPr>
      </w:pPr>
      <w:r>
        <w:drawing>
          <wp:inline distT="0" distB="0" distL="114300" distR="114300">
            <wp:extent cx="5264785" cy="1254125"/>
            <wp:effectExtent l="0" t="0" r="12065" b="3175"/>
            <wp:docPr id="2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4"/>
                    <pic:cNvPicPr>
                      <a:picLocks noChangeAspect="1"/>
                    </pic:cNvPicPr>
                  </pic:nvPicPr>
                  <pic:blipFill>
                    <a:blip r:embed="rId30"/>
                    <a:stretch>
                      <a:fillRect/>
                    </a:stretch>
                  </pic:blipFill>
                  <pic:spPr>
                    <a:xfrm>
                      <a:off x="0" y="0"/>
                      <a:ext cx="5264785" cy="1254125"/>
                    </a:xfrm>
                    <a:prstGeom prst="rect">
                      <a:avLst/>
                    </a:prstGeom>
                    <a:noFill/>
                    <a:ln>
                      <a:noFill/>
                    </a:ln>
                  </pic:spPr>
                </pic:pic>
              </a:graphicData>
            </a:graphic>
          </wp:inline>
        </w:drawing>
      </w:r>
    </w:p>
    <w:p>
      <w:pPr>
        <w:rPr>
          <w:rFonts w:hint="eastAsia"/>
          <w:lang w:val="en-US" w:eastAsia="zh-CN"/>
        </w:rPr>
      </w:pPr>
    </w:p>
    <w:p>
      <w:pPr>
        <w:rPr>
          <w:rFonts w:hint="eastAsia"/>
          <w:lang w:val="en-US" w:eastAsia="zh-CN"/>
        </w:rPr>
      </w:pPr>
      <w:r>
        <w:rPr>
          <w:rFonts w:hint="eastAsia"/>
          <w:lang w:val="en-US" w:eastAsia="zh-CN"/>
        </w:rPr>
        <w:t>按项目设置时，输入项目的学校管理号</w:t>
      </w:r>
    </w:p>
    <w:p>
      <w:pPr>
        <w:rPr>
          <w:rFonts w:hint="eastAsia"/>
          <w:lang w:val="en-US" w:eastAsia="zh-CN"/>
        </w:rPr>
      </w:pPr>
      <w:r>
        <w:rPr>
          <w:rFonts w:hint="eastAsia"/>
          <w:lang w:val="en-US" w:eastAsia="zh-CN"/>
        </w:rPr>
        <w:t>如果这个项目所在类别的外包到账限额是开启的，可以为这个项目设置关闭，表示不校验；</w:t>
      </w:r>
    </w:p>
    <w:p>
      <w:pPr>
        <w:rPr>
          <w:rFonts w:hint="default"/>
          <w:lang w:val="en-US" w:eastAsia="zh-CN"/>
        </w:rPr>
      </w:pPr>
      <w:r>
        <w:rPr>
          <w:rFonts w:hint="eastAsia"/>
          <w:lang w:val="en-US" w:eastAsia="zh-CN"/>
        </w:rPr>
        <w:t>如果这个项目所在类别的外包到账限额是关闭的，可以为这个项目设置开启，表示要校验</w:t>
      </w:r>
    </w:p>
    <w:p>
      <w:r>
        <w:drawing>
          <wp:inline distT="0" distB="0" distL="114300" distR="114300">
            <wp:extent cx="5270500" cy="1238250"/>
            <wp:effectExtent l="0" t="0" r="6350" b="0"/>
            <wp:docPr id="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
                    <pic:cNvPicPr>
                      <a:picLocks noChangeAspect="1"/>
                    </pic:cNvPicPr>
                  </pic:nvPicPr>
                  <pic:blipFill>
                    <a:blip r:embed="rId31"/>
                    <a:stretch>
                      <a:fillRect/>
                    </a:stretch>
                  </pic:blipFill>
                  <pic:spPr>
                    <a:xfrm>
                      <a:off x="0" y="0"/>
                      <a:ext cx="5270500" cy="1238250"/>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26" w:name="_Toc31603"/>
      <w:r>
        <w:rPr>
          <w:rFonts w:hint="eastAsia" w:ascii="宋体" w:hAnsi="宋体" w:eastAsia="宋体"/>
          <w:sz w:val="28"/>
          <w:szCs w:val="28"/>
          <w:lang w:val="en-US" w:eastAsia="zh-CN"/>
        </w:rPr>
        <w:t>税率配置</w:t>
      </w:r>
      <w:bookmarkEnd w:id="26"/>
    </w:p>
    <w:p>
      <w:pPr>
        <w:rPr>
          <w:rFonts w:hint="default" w:eastAsia="宋体"/>
          <w:lang w:val="en-US" w:eastAsia="zh-CN"/>
        </w:rPr>
      </w:pPr>
      <w:r>
        <w:rPr>
          <w:rFonts w:hint="eastAsia"/>
          <w:lang w:val="en-US" w:eastAsia="zh-CN"/>
        </w:rPr>
        <w:t>专利转化经费认领时使用，按所选择的是普通、专用发票带出相应的税率</w:t>
      </w:r>
    </w:p>
    <w:p>
      <w:r>
        <w:drawing>
          <wp:inline distT="0" distB="0" distL="114300" distR="114300">
            <wp:extent cx="5266690" cy="918845"/>
            <wp:effectExtent l="9525" t="9525" r="19685" b="24130"/>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pic:cNvPicPr>
                      <a:picLocks noChangeAspect="1"/>
                    </pic:cNvPicPr>
                  </pic:nvPicPr>
                  <pic:blipFill>
                    <a:blip r:embed="rId32"/>
                    <a:stretch>
                      <a:fillRect/>
                    </a:stretch>
                  </pic:blipFill>
                  <pic:spPr>
                    <a:xfrm>
                      <a:off x="0" y="0"/>
                      <a:ext cx="5266690" cy="918845"/>
                    </a:xfrm>
                    <a:prstGeom prst="rect">
                      <a:avLst/>
                    </a:prstGeom>
                    <a:noFill/>
                    <a:ln>
                      <a:solidFill>
                        <a:srgbClr val="0000FF"/>
                      </a:solidFill>
                    </a:ln>
                  </pic:spPr>
                </pic:pic>
              </a:graphicData>
            </a:graphic>
          </wp:inline>
        </w:drawing>
      </w:r>
    </w:p>
    <w:p>
      <w:pPr>
        <w:rPr>
          <w:rFonts w:hint="eastAsia"/>
          <w:lang w:val="en-US" w:eastAsia="zh-CN"/>
        </w:rPr>
      </w:pPr>
      <w:r>
        <w:rPr>
          <w:rFonts w:hint="eastAsia"/>
          <w:lang w:val="en-US" w:eastAsia="zh-CN"/>
        </w:rPr>
        <w:t>专利转化经费认领表单上使用税率</w:t>
      </w:r>
    </w:p>
    <w:p>
      <w:pPr>
        <w:rPr>
          <w:rFonts w:hint="default"/>
          <w:lang w:val="en-US" w:eastAsia="zh-CN"/>
        </w:rPr>
      </w:pPr>
      <w:r>
        <w:drawing>
          <wp:inline distT="0" distB="0" distL="114300" distR="114300">
            <wp:extent cx="5270500" cy="813435"/>
            <wp:effectExtent l="9525" t="9525" r="15875" b="15240"/>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8"/>
                    <pic:cNvPicPr>
                      <a:picLocks noChangeAspect="1"/>
                    </pic:cNvPicPr>
                  </pic:nvPicPr>
                  <pic:blipFill>
                    <a:blip r:embed="rId33"/>
                    <a:stretch>
                      <a:fillRect/>
                    </a:stretch>
                  </pic:blipFill>
                  <pic:spPr>
                    <a:xfrm>
                      <a:off x="0" y="0"/>
                      <a:ext cx="5270500" cy="813435"/>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27" w:name="_Toc30335"/>
      <w:r>
        <w:rPr>
          <w:rFonts w:hint="eastAsia" w:ascii="宋体" w:hAnsi="宋体" w:eastAsia="宋体"/>
          <w:sz w:val="28"/>
          <w:szCs w:val="28"/>
          <w:lang w:val="en-US" w:eastAsia="zh-CN"/>
        </w:rPr>
        <w:t>预算配置</w:t>
      </w:r>
      <w:bookmarkEnd w:id="27"/>
    </w:p>
    <w:p>
      <w:pPr>
        <w:rPr>
          <w:rFonts w:hint="eastAsia"/>
          <w:lang w:val="en-US" w:eastAsia="zh-CN"/>
        </w:rPr>
      </w:pPr>
      <w:r>
        <w:rPr>
          <w:rFonts w:hint="eastAsia"/>
          <w:lang w:val="en-US" w:eastAsia="zh-CN"/>
        </w:rPr>
        <w:t>纵向项目的科研预算模板与财务预算模板不同，因此要设置科研与财务模板的对应关系，立项时老师填写科研模板，财务人员匹配财务模板；</w:t>
      </w:r>
    </w:p>
    <w:p>
      <w:pPr>
        <w:rPr>
          <w:rFonts w:hint="eastAsia"/>
          <w:lang w:val="en-US" w:eastAsia="zh-CN"/>
        </w:rPr>
      </w:pPr>
      <w:r>
        <w:rPr>
          <w:rFonts w:hint="eastAsia"/>
          <w:lang w:val="en-US" w:eastAsia="zh-CN"/>
        </w:rPr>
        <w:t>横向项目的预算模板不区分科研预算、财务预算，目前横向只有一个财务预算模板。</w:t>
      </w:r>
    </w:p>
    <w:p>
      <w:pPr>
        <w:rPr>
          <w:rFonts w:hint="default"/>
          <w:lang w:val="en-US" w:eastAsia="zh-CN"/>
        </w:rPr>
      </w:pPr>
      <w:r>
        <w:rPr>
          <w:rFonts w:hint="eastAsia"/>
          <w:lang w:val="en-US" w:eastAsia="zh-CN"/>
        </w:rPr>
        <w:t>预算设置方式见财务人员操作说明书。</w:t>
      </w:r>
    </w:p>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single" w:color="auto" w:sz="6" w:space="8"/>
      </w:pBdr>
      <w:jc w:val="right"/>
    </w:pPr>
    <w:r>
      <w:rPr>
        <w:rFonts w:hint="eastAsia" w:ascii="Verdana" w:hAnsi="Verdana"/>
        <w:b/>
        <w:sz w:val="20"/>
      </w:rPr>
      <w:t>操作手册</w:t>
    </w:r>
    <w:r>
      <w:rPr>
        <w:rFonts w:ascii="Verdana" w:hAnsi="Verdana"/>
        <w:b/>
        <w:sz w:val="20"/>
      </w:rPr>
      <w:t xml:space="preserve">                                                           </w:t>
    </w:r>
    <w:r>
      <w:drawing>
        <wp:inline distT="0" distB="0" distL="0" distR="0">
          <wp:extent cx="981075" cy="2514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
                  <a:stretch>
                    <a:fillRect/>
                  </a:stretch>
                </pic:blipFill>
                <pic:spPr>
                  <a:xfrm>
                    <a:off x="0" y="0"/>
                    <a:ext cx="981566" cy="25200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7"/>
    <w:multiLevelType w:val="multilevel"/>
    <w:tmpl w:val="00000007"/>
    <w:lvl w:ilvl="0" w:tentative="0">
      <w:start w:val="1"/>
      <w:numFmt w:val="decimal"/>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1">
    <w:nsid w:val="0000000D"/>
    <w:multiLevelType w:val="multilevel"/>
    <w:tmpl w:val="0000000D"/>
    <w:lvl w:ilvl="0" w:tentative="0">
      <w:start w:val="1"/>
      <w:numFmt w:val="bullet"/>
      <w:pStyle w:val="2"/>
      <w:lvlText w:val=""/>
      <w:lvlJc w:val="left"/>
      <w:pPr>
        <w:tabs>
          <w:tab w:val="left" w:pos="855"/>
        </w:tabs>
        <w:ind w:left="855" w:hanging="420"/>
      </w:pPr>
      <w:rPr>
        <w:rFonts w:hint="default" w:ascii="Wingdings" w:hAnsi="Wingdings"/>
      </w:rPr>
    </w:lvl>
    <w:lvl w:ilvl="1" w:tentative="0">
      <w:start w:val="1"/>
      <w:numFmt w:val="bullet"/>
      <w:pStyle w:val="3"/>
      <w:lvlText w:val=""/>
      <w:lvlJc w:val="left"/>
      <w:pPr>
        <w:tabs>
          <w:tab w:val="left" w:pos="1275"/>
        </w:tabs>
        <w:ind w:left="1275" w:hanging="420"/>
      </w:pPr>
      <w:rPr>
        <w:rFonts w:hint="default" w:ascii="Wingdings" w:hAnsi="Wingdings"/>
      </w:rPr>
    </w:lvl>
    <w:lvl w:ilvl="2" w:tentative="0">
      <w:start w:val="1"/>
      <w:numFmt w:val="bullet"/>
      <w:pStyle w:val="4"/>
      <w:lvlText w:val=""/>
      <w:lvlJc w:val="left"/>
      <w:pPr>
        <w:tabs>
          <w:tab w:val="left" w:pos="1695"/>
        </w:tabs>
        <w:ind w:left="1695" w:hanging="420"/>
      </w:pPr>
      <w:rPr>
        <w:rFonts w:hint="default" w:ascii="Wingdings" w:hAnsi="Wingdings"/>
      </w:rPr>
    </w:lvl>
    <w:lvl w:ilvl="3" w:tentative="0">
      <w:start w:val="1"/>
      <w:numFmt w:val="bullet"/>
      <w:lvlText w:val=""/>
      <w:lvlJc w:val="left"/>
      <w:pPr>
        <w:tabs>
          <w:tab w:val="left" w:pos="2115"/>
        </w:tabs>
        <w:ind w:left="2115" w:hanging="420"/>
      </w:pPr>
      <w:rPr>
        <w:rFonts w:hint="default" w:ascii="Wingdings" w:hAnsi="Wingdings"/>
      </w:rPr>
    </w:lvl>
    <w:lvl w:ilvl="4" w:tentative="0">
      <w:start w:val="1"/>
      <w:numFmt w:val="bullet"/>
      <w:lvlText w:val=""/>
      <w:lvlJc w:val="left"/>
      <w:pPr>
        <w:tabs>
          <w:tab w:val="left" w:pos="2535"/>
        </w:tabs>
        <w:ind w:left="2535" w:hanging="420"/>
      </w:pPr>
      <w:rPr>
        <w:rFonts w:hint="default" w:ascii="Wingdings" w:hAnsi="Wingdings"/>
      </w:rPr>
    </w:lvl>
    <w:lvl w:ilvl="5" w:tentative="0">
      <w:start w:val="1"/>
      <w:numFmt w:val="bullet"/>
      <w:lvlText w:val=""/>
      <w:lvlJc w:val="left"/>
      <w:pPr>
        <w:tabs>
          <w:tab w:val="left" w:pos="2955"/>
        </w:tabs>
        <w:ind w:left="2955" w:hanging="420"/>
      </w:pPr>
      <w:rPr>
        <w:rFonts w:hint="default" w:ascii="Wingdings" w:hAnsi="Wingdings"/>
      </w:rPr>
    </w:lvl>
    <w:lvl w:ilvl="6" w:tentative="0">
      <w:start w:val="1"/>
      <w:numFmt w:val="bullet"/>
      <w:lvlText w:val=""/>
      <w:lvlJc w:val="left"/>
      <w:pPr>
        <w:tabs>
          <w:tab w:val="left" w:pos="3375"/>
        </w:tabs>
        <w:ind w:left="3375" w:hanging="420"/>
      </w:pPr>
      <w:rPr>
        <w:rFonts w:hint="default" w:ascii="Wingdings" w:hAnsi="Wingdings"/>
      </w:rPr>
    </w:lvl>
    <w:lvl w:ilvl="7" w:tentative="0">
      <w:start w:val="1"/>
      <w:numFmt w:val="bullet"/>
      <w:lvlText w:val=""/>
      <w:lvlJc w:val="left"/>
      <w:pPr>
        <w:tabs>
          <w:tab w:val="left" w:pos="3795"/>
        </w:tabs>
        <w:ind w:left="3795" w:hanging="420"/>
      </w:pPr>
      <w:rPr>
        <w:rFonts w:hint="default" w:ascii="Wingdings" w:hAnsi="Wingdings"/>
      </w:rPr>
    </w:lvl>
    <w:lvl w:ilvl="8" w:tentative="0">
      <w:start w:val="1"/>
      <w:numFmt w:val="bullet"/>
      <w:lvlText w:val=""/>
      <w:lvlJc w:val="left"/>
      <w:pPr>
        <w:tabs>
          <w:tab w:val="left" w:pos="4215"/>
        </w:tabs>
        <w:ind w:left="4215" w:hanging="420"/>
      </w:pPr>
      <w:rPr>
        <w:rFonts w:hint="default" w:ascii="Wingdings" w:hAnsi="Wingdings"/>
      </w:rPr>
    </w:lvl>
  </w:abstractNum>
  <w:abstractNum w:abstractNumId="2">
    <w:nsid w:val="698CC84A"/>
    <w:multiLevelType w:val="singleLevel"/>
    <w:tmpl w:val="698CC84A"/>
    <w:lvl w:ilvl="0" w:tentative="0">
      <w:start w:val="1"/>
      <w:numFmt w:val="decimal"/>
      <w:suff w:val="nothing"/>
      <w:lvlText w:val="%1、"/>
      <w:lvlJc w:val="left"/>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M4OGI4YTkzOTdkZmE2ZDFkZjk3YzY5NmM4NzRkZTYifQ=="/>
  </w:docVars>
  <w:rsids>
    <w:rsidRoot w:val="002C45BB"/>
    <w:rsid w:val="000167A6"/>
    <w:rsid w:val="000168D7"/>
    <w:rsid w:val="0003153C"/>
    <w:rsid w:val="00053D03"/>
    <w:rsid w:val="00056736"/>
    <w:rsid w:val="0006323B"/>
    <w:rsid w:val="00073AD8"/>
    <w:rsid w:val="00077570"/>
    <w:rsid w:val="00081C45"/>
    <w:rsid w:val="00083D66"/>
    <w:rsid w:val="00087BC0"/>
    <w:rsid w:val="000907AC"/>
    <w:rsid w:val="00091C8B"/>
    <w:rsid w:val="000A1DA4"/>
    <w:rsid w:val="000B2B98"/>
    <w:rsid w:val="000B60D4"/>
    <w:rsid w:val="000C25A1"/>
    <w:rsid w:val="000D41AA"/>
    <w:rsid w:val="000E0296"/>
    <w:rsid w:val="000F2141"/>
    <w:rsid w:val="0010080E"/>
    <w:rsid w:val="0012133D"/>
    <w:rsid w:val="00131190"/>
    <w:rsid w:val="00132F88"/>
    <w:rsid w:val="001520F0"/>
    <w:rsid w:val="00157640"/>
    <w:rsid w:val="00162989"/>
    <w:rsid w:val="00190FC7"/>
    <w:rsid w:val="001B2402"/>
    <w:rsid w:val="001B2F9F"/>
    <w:rsid w:val="001B3149"/>
    <w:rsid w:val="001B55C7"/>
    <w:rsid w:val="001C79A2"/>
    <w:rsid w:val="001D27C2"/>
    <w:rsid w:val="001D2D6C"/>
    <w:rsid w:val="001E4E5E"/>
    <w:rsid w:val="001E576E"/>
    <w:rsid w:val="001F5BB6"/>
    <w:rsid w:val="00211E7A"/>
    <w:rsid w:val="00220858"/>
    <w:rsid w:val="00224D02"/>
    <w:rsid w:val="0022558B"/>
    <w:rsid w:val="002273C2"/>
    <w:rsid w:val="0025430D"/>
    <w:rsid w:val="002603AF"/>
    <w:rsid w:val="00267EAF"/>
    <w:rsid w:val="002773A9"/>
    <w:rsid w:val="002806B1"/>
    <w:rsid w:val="00285854"/>
    <w:rsid w:val="00297F65"/>
    <w:rsid w:val="002A61A6"/>
    <w:rsid w:val="002A6993"/>
    <w:rsid w:val="002A6EF8"/>
    <w:rsid w:val="002B67F3"/>
    <w:rsid w:val="002C45BB"/>
    <w:rsid w:val="002D2E51"/>
    <w:rsid w:val="002E4B94"/>
    <w:rsid w:val="002F76FC"/>
    <w:rsid w:val="00305714"/>
    <w:rsid w:val="003057C9"/>
    <w:rsid w:val="00316CA5"/>
    <w:rsid w:val="00331484"/>
    <w:rsid w:val="003342FA"/>
    <w:rsid w:val="00334913"/>
    <w:rsid w:val="00357798"/>
    <w:rsid w:val="003631D2"/>
    <w:rsid w:val="00372C33"/>
    <w:rsid w:val="00380AEE"/>
    <w:rsid w:val="003812FA"/>
    <w:rsid w:val="00392B69"/>
    <w:rsid w:val="003A3C91"/>
    <w:rsid w:val="003A5FB7"/>
    <w:rsid w:val="003B1FFE"/>
    <w:rsid w:val="003B20A2"/>
    <w:rsid w:val="003C1B6A"/>
    <w:rsid w:val="003D073C"/>
    <w:rsid w:val="003D257D"/>
    <w:rsid w:val="003D25D3"/>
    <w:rsid w:val="003D7B42"/>
    <w:rsid w:val="003E733D"/>
    <w:rsid w:val="00401412"/>
    <w:rsid w:val="00401AD9"/>
    <w:rsid w:val="00411907"/>
    <w:rsid w:val="00414E29"/>
    <w:rsid w:val="00417D05"/>
    <w:rsid w:val="004251C9"/>
    <w:rsid w:val="004275DC"/>
    <w:rsid w:val="00432282"/>
    <w:rsid w:val="004403FA"/>
    <w:rsid w:val="00446A1B"/>
    <w:rsid w:val="0045386B"/>
    <w:rsid w:val="004538C8"/>
    <w:rsid w:val="00460D67"/>
    <w:rsid w:val="00463541"/>
    <w:rsid w:val="0046426F"/>
    <w:rsid w:val="004856CD"/>
    <w:rsid w:val="00496871"/>
    <w:rsid w:val="004C1C07"/>
    <w:rsid w:val="004E7FC5"/>
    <w:rsid w:val="004F3F77"/>
    <w:rsid w:val="00511F27"/>
    <w:rsid w:val="005326C4"/>
    <w:rsid w:val="00544DFB"/>
    <w:rsid w:val="005559DC"/>
    <w:rsid w:val="005623CE"/>
    <w:rsid w:val="00570AA1"/>
    <w:rsid w:val="00574C77"/>
    <w:rsid w:val="005755FA"/>
    <w:rsid w:val="005C19A8"/>
    <w:rsid w:val="005C51A0"/>
    <w:rsid w:val="005E1588"/>
    <w:rsid w:val="005F77D9"/>
    <w:rsid w:val="00616DF0"/>
    <w:rsid w:val="006478AF"/>
    <w:rsid w:val="00683765"/>
    <w:rsid w:val="006A2613"/>
    <w:rsid w:val="006A3D3F"/>
    <w:rsid w:val="006B5E2B"/>
    <w:rsid w:val="006C737B"/>
    <w:rsid w:val="006F06E0"/>
    <w:rsid w:val="006F6544"/>
    <w:rsid w:val="0072133E"/>
    <w:rsid w:val="00722931"/>
    <w:rsid w:val="0073386F"/>
    <w:rsid w:val="007435B1"/>
    <w:rsid w:val="00746C52"/>
    <w:rsid w:val="007547CA"/>
    <w:rsid w:val="00756FE7"/>
    <w:rsid w:val="00760880"/>
    <w:rsid w:val="00767550"/>
    <w:rsid w:val="00771422"/>
    <w:rsid w:val="00790079"/>
    <w:rsid w:val="0079660D"/>
    <w:rsid w:val="00797C31"/>
    <w:rsid w:val="007A3239"/>
    <w:rsid w:val="007B15A1"/>
    <w:rsid w:val="007C076F"/>
    <w:rsid w:val="007D116B"/>
    <w:rsid w:val="007E43CD"/>
    <w:rsid w:val="00802887"/>
    <w:rsid w:val="00804744"/>
    <w:rsid w:val="008130FC"/>
    <w:rsid w:val="00816A65"/>
    <w:rsid w:val="00816EBF"/>
    <w:rsid w:val="00823C32"/>
    <w:rsid w:val="00826157"/>
    <w:rsid w:val="008268AB"/>
    <w:rsid w:val="008350CB"/>
    <w:rsid w:val="00837873"/>
    <w:rsid w:val="008435FB"/>
    <w:rsid w:val="00850475"/>
    <w:rsid w:val="00851663"/>
    <w:rsid w:val="0085464E"/>
    <w:rsid w:val="00886E87"/>
    <w:rsid w:val="008915FD"/>
    <w:rsid w:val="008A1BD3"/>
    <w:rsid w:val="008C1714"/>
    <w:rsid w:val="008C4878"/>
    <w:rsid w:val="008C5419"/>
    <w:rsid w:val="008E3DAB"/>
    <w:rsid w:val="008F2490"/>
    <w:rsid w:val="008F642F"/>
    <w:rsid w:val="009106FC"/>
    <w:rsid w:val="0091631F"/>
    <w:rsid w:val="00922A2E"/>
    <w:rsid w:val="00942AB2"/>
    <w:rsid w:val="00947BF5"/>
    <w:rsid w:val="0096726E"/>
    <w:rsid w:val="00973D9A"/>
    <w:rsid w:val="009838E9"/>
    <w:rsid w:val="00990106"/>
    <w:rsid w:val="009A4C58"/>
    <w:rsid w:val="009D7D3A"/>
    <w:rsid w:val="009E3EDF"/>
    <w:rsid w:val="00A00176"/>
    <w:rsid w:val="00A06CC2"/>
    <w:rsid w:val="00A06E23"/>
    <w:rsid w:val="00A24749"/>
    <w:rsid w:val="00A338C9"/>
    <w:rsid w:val="00A469F2"/>
    <w:rsid w:val="00A50343"/>
    <w:rsid w:val="00A53FD2"/>
    <w:rsid w:val="00A56508"/>
    <w:rsid w:val="00A6335C"/>
    <w:rsid w:val="00A64B95"/>
    <w:rsid w:val="00A736B0"/>
    <w:rsid w:val="00A80E82"/>
    <w:rsid w:val="00A87BF4"/>
    <w:rsid w:val="00AC4BC4"/>
    <w:rsid w:val="00AC5769"/>
    <w:rsid w:val="00AD14EB"/>
    <w:rsid w:val="00AE78FD"/>
    <w:rsid w:val="00B014F4"/>
    <w:rsid w:val="00B04A4D"/>
    <w:rsid w:val="00B07BAB"/>
    <w:rsid w:val="00B16B02"/>
    <w:rsid w:val="00B24C2F"/>
    <w:rsid w:val="00B324C7"/>
    <w:rsid w:val="00B3534A"/>
    <w:rsid w:val="00B35F58"/>
    <w:rsid w:val="00B55EBE"/>
    <w:rsid w:val="00B614A4"/>
    <w:rsid w:val="00B658B0"/>
    <w:rsid w:val="00B75826"/>
    <w:rsid w:val="00B83122"/>
    <w:rsid w:val="00B85135"/>
    <w:rsid w:val="00B866D3"/>
    <w:rsid w:val="00B87516"/>
    <w:rsid w:val="00B96957"/>
    <w:rsid w:val="00BC11ED"/>
    <w:rsid w:val="00BC4240"/>
    <w:rsid w:val="00BD78FF"/>
    <w:rsid w:val="00BE11F1"/>
    <w:rsid w:val="00BE3E8C"/>
    <w:rsid w:val="00C13696"/>
    <w:rsid w:val="00C14758"/>
    <w:rsid w:val="00C32CD4"/>
    <w:rsid w:val="00C351C0"/>
    <w:rsid w:val="00C35C51"/>
    <w:rsid w:val="00C3658F"/>
    <w:rsid w:val="00C42EAB"/>
    <w:rsid w:val="00C514D2"/>
    <w:rsid w:val="00C549AE"/>
    <w:rsid w:val="00C54F70"/>
    <w:rsid w:val="00C57077"/>
    <w:rsid w:val="00C668A5"/>
    <w:rsid w:val="00C760C7"/>
    <w:rsid w:val="00C86384"/>
    <w:rsid w:val="00C92020"/>
    <w:rsid w:val="00CA49A7"/>
    <w:rsid w:val="00CB0AA1"/>
    <w:rsid w:val="00CB2E2C"/>
    <w:rsid w:val="00CB3EFB"/>
    <w:rsid w:val="00CB731D"/>
    <w:rsid w:val="00CC05DB"/>
    <w:rsid w:val="00CC3CCD"/>
    <w:rsid w:val="00CC4890"/>
    <w:rsid w:val="00CC5360"/>
    <w:rsid w:val="00CC58AC"/>
    <w:rsid w:val="00CD1DDB"/>
    <w:rsid w:val="00CD6DA5"/>
    <w:rsid w:val="00CE215C"/>
    <w:rsid w:val="00CE5A62"/>
    <w:rsid w:val="00CF0CB3"/>
    <w:rsid w:val="00D04C04"/>
    <w:rsid w:val="00D1491F"/>
    <w:rsid w:val="00D153BA"/>
    <w:rsid w:val="00D16EB8"/>
    <w:rsid w:val="00D26AAA"/>
    <w:rsid w:val="00D449E7"/>
    <w:rsid w:val="00D47A93"/>
    <w:rsid w:val="00D65565"/>
    <w:rsid w:val="00D66CE4"/>
    <w:rsid w:val="00D8139F"/>
    <w:rsid w:val="00D94D53"/>
    <w:rsid w:val="00D979C7"/>
    <w:rsid w:val="00DB2778"/>
    <w:rsid w:val="00DB307C"/>
    <w:rsid w:val="00DB30D4"/>
    <w:rsid w:val="00DC6CAB"/>
    <w:rsid w:val="00DD09ED"/>
    <w:rsid w:val="00DD6710"/>
    <w:rsid w:val="00DE5009"/>
    <w:rsid w:val="00DE5D82"/>
    <w:rsid w:val="00DF3F05"/>
    <w:rsid w:val="00DF4CBE"/>
    <w:rsid w:val="00E05287"/>
    <w:rsid w:val="00E05446"/>
    <w:rsid w:val="00E05644"/>
    <w:rsid w:val="00E15C90"/>
    <w:rsid w:val="00E1774D"/>
    <w:rsid w:val="00E3370C"/>
    <w:rsid w:val="00E339B4"/>
    <w:rsid w:val="00E505FC"/>
    <w:rsid w:val="00E519A0"/>
    <w:rsid w:val="00E53518"/>
    <w:rsid w:val="00E53C17"/>
    <w:rsid w:val="00E54231"/>
    <w:rsid w:val="00E61C3F"/>
    <w:rsid w:val="00E6607B"/>
    <w:rsid w:val="00E662DF"/>
    <w:rsid w:val="00E66356"/>
    <w:rsid w:val="00E90143"/>
    <w:rsid w:val="00E90BC1"/>
    <w:rsid w:val="00EA30DC"/>
    <w:rsid w:val="00EA4FE8"/>
    <w:rsid w:val="00EA606E"/>
    <w:rsid w:val="00EA6C01"/>
    <w:rsid w:val="00ED108A"/>
    <w:rsid w:val="00ED5C02"/>
    <w:rsid w:val="00ED6711"/>
    <w:rsid w:val="00EE0AAA"/>
    <w:rsid w:val="00EE0F73"/>
    <w:rsid w:val="00EE4641"/>
    <w:rsid w:val="00F04D74"/>
    <w:rsid w:val="00F051E2"/>
    <w:rsid w:val="00F07476"/>
    <w:rsid w:val="00F102C2"/>
    <w:rsid w:val="00F45037"/>
    <w:rsid w:val="00F6029A"/>
    <w:rsid w:val="00F60480"/>
    <w:rsid w:val="00F62B03"/>
    <w:rsid w:val="00F71A7D"/>
    <w:rsid w:val="00F768A0"/>
    <w:rsid w:val="00F80E48"/>
    <w:rsid w:val="00FA2D1D"/>
    <w:rsid w:val="00FA36E4"/>
    <w:rsid w:val="00FB4E03"/>
    <w:rsid w:val="00FB6157"/>
    <w:rsid w:val="00FC6A9F"/>
    <w:rsid w:val="00FC7C49"/>
    <w:rsid w:val="00FD581F"/>
    <w:rsid w:val="013378D8"/>
    <w:rsid w:val="02553CFD"/>
    <w:rsid w:val="061816F7"/>
    <w:rsid w:val="0B50723E"/>
    <w:rsid w:val="0BA946F2"/>
    <w:rsid w:val="0CB91AE6"/>
    <w:rsid w:val="0F3330FE"/>
    <w:rsid w:val="1109680C"/>
    <w:rsid w:val="121F6421"/>
    <w:rsid w:val="1270610C"/>
    <w:rsid w:val="12A762DD"/>
    <w:rsid w:val="13631AD8"/>
    <w:rsid w:val="13816F52"/>
    <w:rsid w:val="13DD188A"/>
    <w:rsid w:val="15FC6940"/>
    <w:rsid w:val="1A70054C"/>
    <w:rsid w:val="1C346708"/>
    <w:rsid w:val="1C47643B"/>
    <w:rsid w:val="1C5F19D6"/>
    <w:rsid w:val="1C760ACE"/>
    <w:rsid w:val="1D2B3667"/>
    <w:rsid w:val="1DC835AB"/>
    <w:rsid w:val="1F454277"/>
    <w:rsid w:val="1F974FE3"/>
    <w:rsid w:val="1FED554B"/>
    <w:rsid w:val="21A67760"/>
    <w:rsid w:val="21D40771"/>
    <w:rsid w:val="22353A47"/>
    <w:rsid w:val="2342795C"/>
    <w:rsid w:val="2441701A"/>
    <w:rsid w:val="25E95B4D"/>
    <w:rsid w:val="26980D6B"/>
    <w:rsid w:val="27734219"/>
    <w:rsid w:val="28CA642A"/>
    <w:rsid w:val="29F51284"/>
    <w:rsid w:val="2C097E9E"/>
    <w:rsid w:val="2CA86A82"/>
    <w:rsid w:val="2E026666"/>
    <w:rsid w:val="2E276BA8"/>
    <w:rsid w:val="2F2D7712"/>
    <w:rsid w:val="30560313"/>
    <w:rsid w:val="30907F59"/>
    <w:rsid w:val="314B0B76"/>
    <w:rsid w:val="31B45EC9"/>
    <w:rsid w:val="32786CD2"/>
    <w:rsid w:val="32AF043E"/>
    <w:rsid w:val="331A5D5F"/>
    <w:rsid w:val="33613E2E"/>
    <w:rsid w:val="362D5CD2"/>
    <w:rsid w:val="36B349A1"/>
    <w:rsid w:val="39237490"/>
    <w:rsid w:val="3A232E4B"/>
    <w:rsid w:val="3A9248CD"/>
    <w:rsid w:val="3C045B63"/>
    <w:rsid w:val="3E100F51"/>
    <w:rsid w:val="3E352C19"/>
    <w:rsid w:val="40152228"/>
    <w:rsid w:val="408267F3"/>
    <w:rsid w:val="413B7A6D"/>
    <w:rsid w:val="42A909E3"/>
    <w:rsid w:val="4537679D"/>
    <w:rsid w:val="46D84972"/>
    <w:rsid w:val="4A301A0D"/>
    <w:rsid w:val="4A897A9B"/>
    <w:rsid w:val="4D244F49"/>
    <w:rsid w:val="4E255D2C"/>
    <w:rsid w:val="4EBB3F9B"/>
    <w:rsid w:val="4EFB083B"/>
    <w:rsid w:val="4F42646A"/>
    <w:rsid w:val="51564258"/>
    <w:rsid w:val="542F13E5"/>
    <w:rsid w:val="55052414"/>
    <w:rsid w:val="574D0231"/>
    <w:rsid w:val="576553EC"/>
    <w:rsid w:val="59566A6D"/>
    <w:rsid w:val="598C334C"/>
    <w:rsid w:val="59C83A10"/>
    <w:rsid w:val="5ABA02B0"/>
    <w:rsid w:val="5AD90FF1"/>
    <w:rsid w:val="5E1C257C"/>
    <w:rsid w:val="5E526060"/>
    <w:rsid w:val="5FAC67FF"/>
    <w:rsid w:val="61E648C2"/>
    <w:rsid w:val="635D341B"/>
    <w:rsid w:val="63B75221"/>
    <w:rsid w:val="63DD2B95"/>
    <w:rsid w:val="641E0DFC"/>
    <w:rsid w:val="674A1F08"/>
    <w:rsid w:val="68A65864"/>
    <w:rsid w:val="696279DD"/>
    <w:rsid w:val="696C43B8"/>
    <w:rsid w:val="69EC374B"/>
    <w:rsid w:val="6A927E4E"/>
    <w:rsid w:val="6B0424FE"/>
    <w:rsid w:val="6BFB2F89"/>
    <w:rsid w:val="6D2A25C0"/>
    <w:rsid w:val="6D9640F9"/>
    <w:rsid w:val="70711D48"/>
    <w:rsid w:val="72E96A79"/>
    <w:rsid w:val="74C57072"/>
    <w:rsid w:val="76500BBD"/>
    <w:rsid w:val="76AC500B"/>
    <w:rsid w:val="77883719"/>
    <w:rsid w:val="77FF33C0"/>
    <w:rsid w:val="78F978B4"/>
    <w:rsid w:val="7A212B80"/>
    <w:rsid w:val="7AB927D2"/>
    <w:rsid w:val="7CEB2A4A"/>
    <w:rsid w:val="7D304FC3"/>
    <w:rsid w:val="7DD520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0"/>
      <w:lang w:val="en-US" w:eastAsia="zh-CN" w:bidi="ar-SA"/>
    </w:rPr>
  </w:style>
  <w:style w:type="paragraph" w:styleId="2">
    <w:name w:val="heading 1"/>
    <w:basedOn w:val="1"/>
    <w:next w:val="1"/>
    <w:link w:val="16"/>
    <w:qFormat/>
    <w:uiPriority w:val="0"/>
    <w:pPr>
      <w:keepNext/>
      <w:keepLines/>
      <w:numPr>
        <w:ilvl w:val="0"/>
        <w:numId w:val="1"/>
      </w:numPr>
      <w:tabs>
        <w:tab w:val="left" w:pos="432"/>
      </w:tabs>
      <w:spacing w:before="340" w:after="330" w:line="576" w:lineRule="auto"/>
      <w:outlineLvl w:val="0"/>
    </w:pPr>
    <w:rPr>
      <w:b/>
      <w:bCs/>
      <w:kern w:val="44"/>
      <w:sz w:val="36"/>
      <w:szCs w:val="44"/>
    </w:rPr>
  </w:style>
  <w:style w:type="paragraph" w:styleId="3">
    <w:name w:val="heading 2"/>
    <w:basedOn w:val="1"/>
    <w:next w:val="1"/>
    <w:link w:val="17"/>
    <w:unhideWhenUsed/>
    <w:qFormat/>
    <w:uiPriority w:val="0"/>
    <w:pPr>
      <w:keepNext/>
      <w:keepLines/>
      <w:numPr>
        <w:ilvl w:val="1"/>
        <w:numId w:val="1"/>
      </w:numPr>
      <w:tabs>
        <w:tab w:val="left" w:pos="432"/>
        <w:tab w:val="left" w:pos="576"/>
      </w:tabs>
      <w:spacing w:before="260" w:after="260" w:line="412" w:lineRule="auto"/>
      <w:outlineLvl w:val="1"/>
    </w:pPr>
    <w:rPr>
      <w:rFonts w:ascii="Arial" w:hAnsi="Arial" w:eastAsia="黑体"/>
      <w:b/>
      <w:bCs/>
      <w:sz w:val="32"/>
      <w:szCs w:val="32"/>
    </w:rPr>
  </w:style>
  <w:style w:type="paragraph" w:styleId="4">
    <w:name w:val="heading 3"/>
    <w:basedOn w:val="1"/>
    <w:next w:val="1"/>
    <w:link w:val="18"/>
    <w:unhideWhenUsed/>
    <w:qFormat/>
    <w:uiPriority w:val="0"/>
    <w:pPr>
      <w:keepNext/>
      <w:keepLines/>
      <w:numPr>
        <w:ilvl w:val="2"/>
        <w:numId w:val="1"/>
      </w:numPr>
      <w:tabs>
        <w:tab w:val="left" w:pos="432"/>
        <w:tab w:val="left" w:pos="720"/>
      </w:tabs>
      <w:spacing w:before="260" w:after="260" w:line="412" w:lineRule="auto"/>
      <w:outlineLvl w:val="2"/>
    </w:pPr>
    <w:rPr>
      <w:b/>
      <w:bCs/>
      <w:sz w:val="32"/>
      <w:szCs w:val="32"/>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toc 3"/>
    <w:basedOn w:val="1"/>
    <w:next w:val="1"/>
    <w:unhideWhenUsed/>
    <w:qFormat/>
    <w:uiPriority w:val="39"/>
    <w:pPr>
      <w:ind w:left="840" w:leftChars="400"/>
    </w:pPr>
  </w:style>
  <w:style w:type="paragraph" w:styleId="6">
    <w:name w:val="footer"/>
    <w:basedOn w:val="1"/>
    <w:link w:val="15"/>
    <w:unhideWhenUsed/>
    <w:qFormat/>
    <w:uiPriority w:val="99"/>
    <w:pPr>
      <w:tabs>
        <w:tab w:val="center" w:pos="4153"/>
        <w:tab w:val="right" w:pos="8306"/>
      </w:tabs>
      <w:snapToGrid w:val="0"/>
      <w:jc w:val="left"/>
    </w:pPr>
    <w:rPr>
      <w:sz w:val="18"/>
      <w:szCs w:val="18"/>
    </w:rPr>
  </w:style>
  <w:style w:type="paragraph" w:styleId="7">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unhideWhenUsed/>
    <w:qFormat/>
    <w:uiPriority w:val="39"/>
  </w:style>
  <w:style w:type="paragraph" w:styleId="9">
    <w:name w:val="toc 2"/>
    <w:basedOn w:val="1"/>
    <w:next w:val="1"/>
    <w:unhideWhenUsed/>
    <w:qFormat/>
    <w:uiPriority w:val="39"/>
    <w:pPr>
      <w:ind w:left="420" w:leftChars="200"/>
    </w:pPr>
  </w:style>
  <w:style w:type="table" w:styleId="11">
    <w:name w:val="Table Grid"/>
    <w:basedOn w:val="10"/>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unhideWhenUsed/>
    <w:qFormat/>
    <w:uiPriority w:val="99"/>
    <w:rPr>
      <w:color w:val="0000FF"/>
      <w:u w:val="single"/>
    </w:rPr>
  </w:style>
  <w:style w:type="character" w:customStyle="1" w:styleId="14">
    <w:name w:val="页眉 字符"/>
    <w:basedOn w:val="12"/>
    <w:link w:val="7"/>
    <w:qFormat/>
    <w:uiPriority w:val="99"/>
    <w:rPr>
      <w:sz w:val="18"/>
      <w:szCs w:val="18"/>
    </w:rPr>
  </w:style>
  <w:style w:type="character" w:customStyle="1" w:styleId="15">
    <w:name w:val="页脚 字符"/>
    <w:basedOn w:val="12"/>
    <w:link w:val="6"/>
    <w:qFormat/>
    <w:uiPriority w:val="99"/>
    <w:rPr>
      <w:sz w:val="18"/>
      <w:szCs w:val="18"/>
    </w:rPr>
  </w:style>
  <w:style w:type="character" w:customStyle="1" w:styleId="16">
    <w:name w:val="标题 1 字符"/>
    <w:basedOn w:val="12"/>
    <w:link w:val="2"/>
    <w:qFormat/>
    <w:uiPriority w:val="0"/>
    <w:rPr>
      <w:rFonts w:ascii="Times New Roman" w:hAnsi="Times New Roman" w:eastAsia="宋体" w:cs="Times New Roman"/>
      <w:b/>
      <w:bCs/>
      <w:kern w:val="44"/>
      <w:sz w:val="36"/>
      <w:szCs w:val="44"/>
    </w:rPr>
  </w:style>
  <w:style w:type="character" w:customStyle="1" w:styleId="17">
    <w:name w:val="标题 2 字符"/>
    <w:basedOn w:val="12"/>
    <w:link w:val="3"/>
    <w:qFormat/>
    <w:uiPriority w:val="0"/>
    <w:rPr>
      <w:rFonts w:ascii="Arial" w:hAnsi="Arial" w:eastAsia="黑体" w:cs="Times New Roman"/>
      <w:b/>
      <w:bCs/>
      <w:sz w:val="32"/>
      <w:szCs w:val="32"/>
    </w:rPr>
  </w:style>
  <w:style w:type="character" w:customStyle="1" w:styleId="18">
    <w:name w:val="标题 3 字符"/>
    <w:basedOn w:val="12"/>
    <w:link w:val="4"/>
    <w:qFormat/>
    <w:uiPriority w:val="0"/>
    <w:rPr>
      <w:rFonts w:ascii="Times New Roman" w:hAnsi="Times New Roman" w:eastAsia="宋体" w:cs="Times New Roman"/>
      <w:b/>
      <w:bCs/>
      <w:sz w:val="32"/>
      <w:szCs w:val="32"/>
    </w:rPr>
  </w:style>
  <w:style w:type="paragraph" w:customStyle="1" w:styleId="19">
    <w:name w:val="TOC 标题1"/>
    <w:basedOn w:val="2"/>
    <w:next w:val="1"/>
    <w:qFormat/>
    <w:uiPriority w:val="0"/>
    <w:pPr>
      <w:widowControl/>
      <w:numPr>
        <w:numId w:val="0"/>
      </w:numPr>
      <w:spacing w:before="480" w:after="0" w:line="276" w:lineRule="auto"/>
      <w:jc w:val="left"/>
      <w:outlineLvl w:val="9"/>
    </w:pPr>
    <w:rPr>
      <w:rFonts w:ascii="Cambria" w:hAnsi="Cambria"/>
      <w:color w:val="365F91"/>
      <w:kern w:val="0"/>
      <w:sz w:val="28"/>
      <w:szCs w:val="28"/>
    </w:rPr>
  </w:style>
  <w:style w:type="paragraph" w:styleId="20">
    <w:name w:val="List Paragraph"/>
    <w:basedOn w:val="1"/>
    <w:qFormat/>
    <w:uiPriority w:val="34"/>
    <w:pPr>
      <w:ind w:firstLine="420" w:firstLineChars="200"/>
    </w:pPr>
  </w:style>
  <w:style w:type="character" w:customStyle="1" w:styleId="21">
    <w:name w:val="Unresolved Mention"/>
    <w:basedOn w:val="12"/>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theme" Target="theme/theme1.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numbering" Target="numbering.xml"/><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header" Target="header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5E431C-DF17-4080-BE70-74C42507B754}">
  <ds:schemaRefs/>
</ds:datastoreItem>
</file>

<file path=docProps/app.xml><?xml version="1.0" encoding="utf-8"?>
<Properties xmlns="http://schemas.openxmlformats.org/officeDocument/2006/extended-properties" xmlns:vt="http://schemas.openxmlformats.org/officeDocument/2006/docPropsVTypes">
  <Template>Normal.dotm</Template>
  <Pages>8</Pages>
  <Words>1170</Words>
  <Characters>1243</Characters>
  <Lines>13</Lines>
  <Paragraphs>3</Paragraphs>
  <TotalTime>0</TotalTime>
  <ScaleCrop>false</ScaleCrop>
  <LinksUpToDate>false</LinksUpToDate>
  <CharactersWithSpaces>1272</CharactersWithSpaces>
  <Application>WPS Office_12.1.0.15398_F1E327BC-269C-435d-A152-05C5408002CA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2019-12-31T02:58:00Z</dcterms:created>
  <dc:creator>gao haixia</dc:creator>
  <cp:lastModifiedBy>GaoHX</cp:lastModifiedBy>
  <dcterms:modified xsi:type="dcterms:W3CDTF">2023-09-22T00:59:47Z</dcterms:modified>
  <cp:revision>289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2052-12.1.0.15398</vt:lpwstr>
  </property>
  <property fmtid="{D5CDD505-2E9C-101B-9397-08002B2CF9AE}" pid="3" name="ICV">
    <vt:lpwstr>B1E517DA66354D1198E8FAA6FFF6194A</vt:lpwstr>
  </property>
  <property fmtid="{D5CDD505-2E9C-101B-9397-08002B2CF9AE}" pid="4" name="commondata">
    <vt:lpwstr>eyJoZGlkIjoiNGM4OGI4YTkzOTdkZmE2ZDFkZjk3YzY5NmM4NzRkZTYifQ==</vt:lpwstr>
  </property>
</Properties>
</file>