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80" w:lineRule="auto"/>
        <w:rPr>
          <w:b/>
          <w:sz w:val="36"/>
          <w:szCs w:val="36"/>
        </w:rPr>
      </w:pPr>
    </w:p>
    <w:p>
      <w:pPr>
        <w:spacing w:line="480" w:lineRule="auto"/>
        <w:rPr>
          <w:b/>
          <w:sz w:val="36"/>
          <w:szCs w:val="36"/>
        </w:rPr>
      </w:pPr>
    </w:p>
    <w:p>
      <w:pPr>
        <w:spacing w:line="480" w:lineRule="auto"/>
        <w:rPr>
          <w:b/>
          <w:sz w:val="36"/>
          <w:szCs w:val="36"/>
        </w:rPr>
      </w:pPr>
    </w:p>
    <w:p>
      <w:pPr>
        <w:spacing w:line="480" w:lineRule="auto"/>
        <w:rPr>
          <w:b/>
          <w:sz w:val="36"/>
          <w:szCs w:val="36"/>
        </w:rPr>
      </w:pPr>
    </w:p>
    <w:p>
      <w:pPr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同济大学</w:t>
      </w:r>
    </w:p>
    <w:p>
      <w:pPr>
        <w:spacing w:line="360" w:lineRule="auto"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  <w:lang w:val="en-US" w:eastAsia="zh-CN"/>
        </w:rPr>
        <w:t>科研</w:t>
      </w:r>
      <w:r>
        <w:rPr>
          <w:rFonts w:hint="eastAsia"/>
          <w:b/>
          <w:sz w:val="52"/>
          <w:szCs w:val="52"/>
        </w:rPr>
        <w:t>项目管理系统</w:t>
      </w:r>
    </w:p>
    <w:p>
      <w:pPr>
        <w:spacing w:line="360" w:lineRule="auto"/>
        <w:jc w:val="center"/>
        <w:rPr>
          <w:b/>
          <w:sz w:val="52"/>
          <w:szCs w:val="52"/>
        </w:rPr>
      </w:pPr>
    </w:p>
    <w:p>
      <w:pPr>
        <w:spacing w:line="360" w:lineRule="auto"/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操作手册</w:t>
      </w:r>
    </w:p>
    <w:p>
      <w:pPr>
        <w:spacing w:line="360" w:lineRule="auto"/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（经费主管使用）</w:t>
      </w:r>
    </w:p>
    <w:p>
      <w:pPr>
        <w:spacing w:line="360" w:lineRule="auto"/>
        <w:jc w:val="center"/>
        <w:rPr>
          <w:b/>
          <w:sz w:val="28"/>
          <w:szCs w:val="28"/>
        </w:rPr>
      </w:pPr>
    </w:p>
    <w:p>
      <w:pPr>
        <w:spacing w:line="360" w:lineRule="auto"/>
        <w:jc w:val="center"/>
        <w:rPr>
          <w:b/>
          <w:sz w:val="28"/>
          <w:szCs w:val="28"/>
        </w:rPr>
      </w:pPr>
    </w:p>
    <w:p>
      <w:pPr>
        <w:spacing w:line="360" w:lineRule="auto"/>
        <w:jc w:val="center"/>
        <w:rPr>
          <w:b/>
          <w:sz w:val="28"/>
          <w:szCs w:val="28"/>
        </w:rPr>
      </w:pPr>
    </w:p>
    <w:p>
      <w:pPr>
        <w:spacing w:line="360" w:lineRule="auto"/>
        <w:jc w:val="center"/>
        <w:rPr>
          <w:b/>
          <w:sz w:val="28"/>
          <w:szCs w:val="28"/>
        </w:rPr>
      </w:pPr>
    </w:p>
    <w:p>
      <w:pPr>
        <w:spacing w:line="360" w:lineRule="auto"/>
        <w:jc w:val="center"/>
        <w:rPr>
          <w:b/>
          <w:sz w:val="28"/>
          <w:szCs w:val="28"/>
        </w:rPr>
      </w:pPr>
    </w:p>
    <w:p>
      <w:pPr>
        <w:spacing w:line="360" w:lineRule="auto"/>
        <w:jc w:val="center"/>
        <w:rPr>
          <w:b/>
          <w:sz w:val="28"/>
          <w:szCs w:val="28"/>
        </w:rPr>
      </w:pPr>
    </w:p>
    <w:p>
      <w:pPr>
        <w:spacing w:line="360" w:lineRule="auto"/>
        <w:jc w:val="center"/>
        <w:rPr>
          <w:b/>
          <w:sz w:val="28"/>
          <w:szCs w:val="28"/>
        </w:rPr>
      </w:pPr>
    </w:p>
    <w:p>
      <w:pPr>
        <w:spacing w:line="360" w:lineRule="auto"/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V</w:t>
      </w:r>
      <w:r>
        <w:rPr>
          <w:b/>
          <w:sz w:val="28"/>
          <w:szCs w:val="28"/>
        </w:rPr>
        <w:t>er:</w:t>
      </w:r>
      <w:r>
        <w:rPr>
          <w:rFonts w:hint="eastAsia"/>
          <w:b/>
          <w:sz w:val="28"/>
          <w:szCs w:val="28"/>
          <w:lang w:val="en-US" w:eastAsia="zh-CN"/>
        </w:rPr>
        <w:t>2</w:t>
      </w:r>
      <w:r>
        <w:rPr>
          <w:b/>
          <w:sz w:val="28"/>
          <w:szCs w:val="28"/>
        </w:rPr>
        <w:t>.0</w:t>
      </w:r>
    </w:p>
    <w:p>
      <w:pPr>
        <w:spacing w:line="360" w:lineRule="auto"/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2</w:t>
      </w:r>
      <w:r>
        <w:rPr>
          <w:b/>
          <w:sz w:val="28"/>
          <w:szCs w:val="28"/>
        </w:rPr>
        <w:t>02</w:t>
      </w:r>
      <w:r>
        <w:rPr>
          <w:rFonts w:hint="eastAsia"/>
          <w:b/>
          <w:sz w:val="28"/>
          <w:szCs w:val="28"/>
          <w:lang w:val="en-US" w:eastAsia="zh-CN"/>
        </w:rPr>
        <w:t>3</w:t>
      </w:r>
      <w:r>
        <w:rPr>
          <w:b/>
          <w:sz w:val="28"/>
          <w:szCs w:val="28"/>
        </w:rPr>
        <w:t>/0</w:t>
      </w:r>
      <w:r>
        <w:rPr>
          <w:rFonts w:hint="eastAsia"/>
          <w:b/>
          <w:sz w:val="28"/>
          <w:szCs w:val="28"/>
          <w:lang w:val="en-US" w:eastAsia="zh-CN"/>
        </w:rPr>
        <w:t>8</w:t>
      </w:r>
      <w:r>
        <w:rPr>
          <w:b/>
          <w:sz w:val="28"/>
          <w:szCs w:val="28"/>
        </w:rPr>
        <w:t>/10</w:t>
      </w:r>
    </w:p>
    <w:p>
      <w:pPr>
        <w:spacing w:line="360" w:lineRule="auto"/>
        <w:jc w:val="center"/>
        <w:rPr>
          <w:b/>
          <w:sz w:val="28"/>
          <w:szCs w:val="28"/>
        </w:rPr>
      </w:pPr>
    </w:p>
    <w:p>
      <w:pPr>
        <w:spacing w:line="360" w:lineRule="auto"/>
        <w:jc w:val="center"/>
        <w:rPr>
          <w:b/>
          <w:sz w:val="28"/>
          <w:szCs w:val="28"/>
        </w:rPr>
      </w:pPr>
    </w:p>
    <w:p>
      <w:pPr>
        <w:spacing w:line="360" w:lineRule="auto"/>
        <w:jc w:val="center"/>
        <w:rPr>
          <w:b/>
          <w:sz w:val="28"/>
          <w:szCs w:val="28"/>
        </w:rPr>
      </w:pPr>
    </w:p>
    <w:p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>
        <w:rPr>
          <w:rFonts w:hint="eastAsia"/>
          <w:b/>
          <w:sz w:val="28"/>
          <w:szCs w:val="28"/>
        </w:rPr>
        <w:t>文档修订记录</w:t>
      </w:r>
    </w:p>
    <w:tbl>
      <w:tblPr>
        <w:tblStyle w:val="11"/>
        <w:tblW w:w="906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96"/>
        <w:gridCol w:w="709"/>
        <w:gridCol w:w="3827"/>
        <w:gridCol w:w="1560"/>
        <w:gridCol w:w="12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6" w:type="dxa"/>
            <w:shd w:val="clear" w:color="auto" w:fill="D0CECE" w:themeFill="background2" w:themeFillShade="E6"/>
            <w:vAlign w:val="center"/>
          </w:tcPr>
          <w:p>
            <w:pPr>
              <w:jc w:val="center"/>
              <w:rPr>
                <w:b/>
                <w:kern w:val="0"/>
                <w:sz w:val="20"/>
                <w:szCs w:val="24"/>
              </w:rPr>
            </w:pPr>
            <w:r>
              <w:rPr>
                <w:rFonts w:hint="eastAsia"/>
                <w:b/>
                <w:kern w:val="0"/>
                <w:sz w:val="20"/>
                <w:szCs w:val="24"/>
              </w:rPr>
              <w:t>版本编号或者</w:t>
            </w:r>
          </w:p>
          <w:p>
            <w:pPr>
              <w:jc w:val="center"/>
              <w:rPr>
                <w:b/>
                <w:kern w:val="0"/>
                <w:sz w:val="20"/>
                <w:szCs w:val="24"/>
              </w:rPr>
            </w:pPr>
            <w:r>
              <w:rPr>
                <w:rFonts w:hint="eastAsia"/>
                <w:b/>
                <w:kern w:val="0"/>
                <w:sz w:val="20"/>
                <w:szCs w:val="24"/>
              </w:rPr>
              <w:t>更改记录编号</w:t>
            </w:r>
            <w:r>
              <w:rPr>
                <w:b/>
                <w:kern w:val="0"/>
                <w:sz w:val="20"/>
                <w:szCs w:val="24"/>
              </w:rPr>
              <w:t> </w:t>
            </w:r>
          </w:p>
        </w:tc>
        <w:tc>
          <w:tcPr>
            <w:tcW w:w="709" w:type="dxa"/>
            <w:shd w:val="clear" w:color="auto" w:fill="D0CECE" w:themeFill="background2" w:themeFillShade="E6"/>
            <w:vAlign w:val="center"/>
          </w:tcPr>
          <w:p>
            <w:pPr>
              <w:rPr>
                <w:b/>
                <w:kern w:val="0"/>
                <w:sz w:val="20"/>
                <w:szCs w:val="24"/>
              </w:rPr>
            </w:pPr>
            <w:r>
              <w:rPr>
                <w:rFonts w:hint="eastAsia"/>
                <w:b/>
                <w:kern w:val="0"/>
                <w:sz w:val="20"/>
                <w:szCs w:val="24"/>
              </w:rPr>
              <w:t>变化</w:t>
            </w:r>
          </w:p>
          <w:p>
            <w:pPr>
              <w:rPr>
                <w:b/>
                <w:kern w:val="0"/>
                <w:sz w:val="20"/>
                <w:szCs w:val="24"/>
              </w:rPr>
            </w:pPr>
            <w:r>
              <w:rPr>
                <w:rFonts w:hint="eastAsia"/>
                <w:b/>
                <w:kern w:val="0"/>
                <w:sz w:val="20"/>
                <w:szCs w:val="24"/>
              </w:rPr>
              <w:t>状态</w:t>
            </w:r>
          </w:p>
        </w:tc>
        <w:tc>
          <w:tcPr>
            <w:tcW w:w="3827" w:type="dxa"/>
            <w:shd w:val="clear" w:color="auto" w:fill="D0CECE" w:themeFill="background2" w:themeFillShade="E6"/>
            <w:vAlign w:val="center"/>
          </w:tcPr>
          <w:p>
            <w:pPr>
              <w:jc w:val="center"/>
              <w:rPr>
                <w:b/>
                <w:kern w:val="0"/>
                <w:sz w:val="20"/>
                <w:szCs w:val="24"/>
              </w:rPr>
            </w:pPr>
            <w:r>
              <w:rPr>
                <w:rFonts w:hint="eastAsia"/>
                <w:b/>
                <w:kern w:val="0"/>
                <w:sz w:val="20"/>
                <w:szCs w:val="24"/>
              </w:rPr>
              <w:t>简要说明</w:t>
            </w:r>
          </w:p>
          <w:p>
            <w:pPr>
              <w:jc w:val="center"/>
              <w:rPr>
                <w:b/>
                <w:kern w:val="0"/>
                <w:sz w:val="20"/>
                <w:szCs w:val="24"/>
              </w:rPr>
            </w:pPr>
            <w:r>
              <w:rPr>
                <w:rFonts w:hint="eastAsia"/>
                <w:b/>
                <w:kern w:val="0"/>
                <w:sz w:val="20"/>
                <w:szCs w:val="24"/>
              </w:rPr>
              <w:t>（变更内容和变更范围）</w:t>
            </w:r>
            <w:r>
              <w:rPr>
                <w:b/>
                <w:kern w:val="0"/>
                <w:sz w:val="20"/>
                <w:szCs w:val="24"/>
              </w:rPr>
              <w:t> </w:t>
            </w:r>
          </w:p>
        </w:tc>
        <w:tc>
          <w:tcPr>
            <w:tcW w:w="1560" w:type="dxa"/>
            <w:shd w:val="clear" w:color="auto" w:fill="D0CECE" w:themeFill="background2" w:themeFillShade="E6"/>
            <w:vAlign w:val="center"/>
          </w:tcPr>
          <w:p>
            <w:pPr>
              <w:jc w:val="center"/>
              <w:rPr>
                <w:b/>
                <w:kern w:val="0"/>
                <w:sz w:val="20"/>
                <w:szCs w:val="24"/>
              </w:rPr>
            </w:pPr>
            <w:r>
              <w:rPr>
                <w:rFonts w:hint="eastAsia"/>
                <w:b/>
                <w:kern w:val="0"/>
                <w:sz w:val="20"/>
                <w:szCs w:val="24"/>
              </w:rPr>
              <w:t>日期</w:t>
            </w:r>
          </w:p>
        </w:tc>
        <w:tc>
          <w:tcPr>
            <w:tcW w:w="1275" w:type="dxa"/>
            <w:shd w:val="clear" w:color="auto" w:fill="D0CECE" w:themeFill="background2" w:themeFillShade="E6"/>
            <w:vAlign w:val="center"/>
          </w:tcPr>
          <w:p>
            <w:pPr>
              <w:jc w:val="center"/>
              <w:rPr>
                <w:b/>
                <w:kern w:val="0"/>
                <w:sz w:val="20"/>
                <w:szCs w:val="24"/>
              </w:rPr>
            </w:pPr>
            <w:r>
              <w:rPr>
                <w:rFonts w:hint="eastAsia"/>
                <w:b/>
                <w:kern w:val="0"/>
                <w:sz w:val="20"/>
                <w:szCs w:val="24"/>
              </w:rPr>
              <w:t>修订人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6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  <w:r>
              <w:rPr>
                <w:rFonts w:hint="eastAsia"/>
                <w:b/>
                <w:kern w:val="0"/>
                <w:sz w:val="20"/>
                <w:szCs w:val="24"/>
              </w:rPr>
              <w:t>V</w:t>
            </w:r>
            <w:r>
              <w:rPr>
                <w:b/>
                <w:kern w:val="0"/>
                <w:sz w:val="20"/>
                <w:szCs w:val="24"/>
              </w:rPr>
              <w:t>1.0</w:t>
            </w:r>
          </w:p>
        </w:tc>
        <w:tc>
          <w:tcPr>
            <w:tcW w:w="709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  <w:r>
              <w:rPr>
                <w:rFonts w:hint="eastAsia"/>
                <w:b/>
                <w:kern w:val="0"/>
                <w:sz w:val="20"/>
                <w:szCs w:val="24"/>
              </w:rPr>
              <w:t>新建</w:t>
            </w:r>
          </w:p>
        </w:tc>
        <w:tc>
          <w:tcPr>
            <w:tcW w:w="3827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1560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1275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6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  <w:r>
              <w:rPr>
                <w:rFonts w:hint="eastAsia"/>
                <w:b/>
                <w:kern w:val="0"/>
                <w:sz w:val="20"/>
                <w:szCs w:val="24"/>
              </w:rPr>
              <w:t>V</w:t>
            </w:r>
            <w:r>
              <w:rPr>
                <w:rFonts w:hint="eastAsia"/>
                <w:b/>
                <w:kern w:val="0"/>
                <w:sz w:val="20"/>
                <w:szCs w:val="24"/>
                <w:lang w:val="en-US" w:eastAsia="zh-CN"/>
              </w:rPr>
              <w:t>2</w:t>
            </w:r>
            <w:r>
              <w:rPr>
                <w:b/>
                <w:kern w:val="0"/>
                <w:sz w:val="20"/>
                <w:szCs w:val="24"/>
              </w:rPr>
              <w:t>.0</w:t>
            </w:r>
          </w:p>
        </w:tc>
        <w:tc>
          <w:tcPr>
            <w:tcW w:w="709" w:type="dxa"/>
          </w:tcPr>
          <w:p>
            <w:pPr>
              <w:rPr>
                <w:rFonts w:hint="eastAsia" w:eastAsia="宋体"/>
                <w:b/>
                <w:kern w:val="0"/>
                <w:sz w:val="20"/>
                <w:szCs w:val="24"/>
                <w:lang w:val="en-US" w:eastAsia="zh-CN"/>
              </w:rPr>
            </w:pPr>
            <w:r>
              <w:rPr>
                <w:rFonts w:hint="eastAsia"/>
                <w:b/>
                <w:kern w:val="0"/>
                <w:sz w:val="20"/>
                <w:szCs w:val="24"/>
                <w:lang w:val="en-US" w:eastAsia="zh-CN"/>
              </w:rPr>
              <w:t>更新</w:t>
            </w:r>
          </w:p>
        </w:tc>
        <w:tc>
          <w:tcPr>
            <w:tcW w:w="3827" w:type="dxa"/>
          </w:tcPr>
          <w:p>
            <w:pPr>
              <w:rPr>
                <w:rFonts w:hint="default" w:eastAsia="宋体"/>
                <w:b/>
                <w:kern w:val="0"/>
                <w:sz w:val="20"/>
                <w:szCs w:val="24"/>
                <w:lang w:val="en-US" w:eastAsia="zh-CN"/>
              </w:rPr>
            </w:pPr>
            <w:r>
              <w:rPr>
                <w:rFonts w:hint="eastAsia"/>
                <w:b/>
                <w:kern w:val="0"/>
                <w:sz w:val="20"/>
                <w:szCs w:val="24"/>
                <w:lang w:val="en-US" w:eastAsia="zh-CN"/>
              </w:rPr>
              <w:t>横纵向系统合并</w:t>
            </w:r>
          </w:p>
        </w:tc>
        <w:tc>
          <w:tcPr>
            <w:tcW w:w="1560" w:type="dxa"/>
          </w:tcPr>
          <w:p>
            <w:pPr>
              <w:rPr>
                <w:rFonts w:hint="default" w:eastAsia="宋体"/>
                <w:b/>
                <w:kern w:val="0"/>
                <w:sz w:val="20"/>
                <w:szCs w:val="24"/>
                <w:lang w:val="en-US" w:eastAsia="zh-CN"/>
              </w:rPr>
            </w:pPr>
            <w:r>
              <w:rPr>
                <w:rFonts w:hint="eastAsia"/>
                <w:b/>
                <w:kern w:val="0"/>
                <w:sz w:val="20"/>
                <w:szCs w:val="24"/>
                <w:lang w:val="en-US" w:eastAsia="zh-CN"/>
              </w:rPr>
              <w:t>2023/08/10</w:t>
            </w:r>
          </w:p>
        </w:tc>
        <w:tc>
          <w:tcPr>
            <w:tcW w:w="1275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6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709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3827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1560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1275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6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709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3827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1560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1275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6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709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3827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1560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1275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6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709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3827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1560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1275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6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709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3827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1560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1275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696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709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3827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1560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  <w:tc>
          <w:tcPr>
            <w:tcW w:w="1275" w:type="dxa"/>
          </w:tcPr>
          <w:p>
            <w:pPr>
              <w:rPr>
                <w:b/>
                <w:kern w:val="0"/>
                <w:sz w:val="20"/>
                <w:szCs w:val="24"/>
              </w:rPr>
            </w:pPr>
          </w:p>
        </w:tc>
      </w:tr>
    </w:tbl>
    <w:p/>
    <w:p>
      <w:r>
        <w:br w:type="page"/>
      </w:r>
    </w:p>
    <w:p>
      <w:pPr>
        <w:pStyle w:val="19"/>
        <w:jc w:val="center"/>
      </w:pPr>
      <w:r>
        <w:rPr>
          <w:rFonts w:hint="eastAsia"/>
          <w:lang w:val="zh-CN"/>
        </w:rPr>
        <w:t>目录</w:t>
      </w:r>
    </w:p>
    <w:p>
      <w:pPr>
        <w:pStyle w:val="8"/>
        <w:tabs>
          <w:tab w:val="right" w:leader="dot" w:pos="8306"/>
        </w:tabs>
      </w:pPr>
      <w:r>
        <w:fldChar w:fldCharType="begin"/>
      </w:r>
      <w:r>
        <w:instrText xml:space="preserve"> TOC \o "1-3" \h \z \u </w:instrText>
      </w:r>
      <w:r>
        <w:fldChar w:fldCharType="separate"/>
      </w:r>
      <w:r>
        <w:fldChar w:fldCharType="begin"/>
      </w:r>
      <w:r>
        <w:instrText xml:space="preserve"> HYPERLINK \l _Toc16337 </w:instrText>
      </w:r>
      <w:r>
        <w:fldChar w:fldCharType="separate"/>
      </w:r>
      <w:r>
        <w:t xml:space="preserve">1 </w:t>
      </w:r>
      <w:r>
        <w:rPr>
          <w:rFonts w:hint="eastAsia"/>
        </w:rPr>
        <w:t>引言</w:t>
      </w:r>
      <w:r>
        <w:tab/>
      </w:r>
      <w:r>
        <w:fldChar w:fldCharType="begin"/>
      </w:r>
      <w:r>
        <w:instrText xml:space="preserve"> PAGEREF _Toc16337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9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_Toc11870 </w:instrText>
      </w:r>
      <w:r>
        <w:rPr>
          <w:bCs/>
          <w:lang w:val="zh-CN"/>
        </w:rPr>
        <w:fldChar w:fldCharType="separate"/>
      </w:r>
      <w:r>
        <w:rPr>
          <w:rFonts w:ascii="宋体" w:hAnsi="宋体" w:eastAsia="宋体"/>
        </w:rPr>
        <w:t xml:space="preserve">1.1 </w:t>
      </w:r>
      <w:r>
        <w:rPr>
          <w:rFonts w:hint="eastAsia" w:ascii="宋体" w:hAnsi="宋体" w:eastAsia="宋体"/>
        </w:rPr>
        <w:t>编写目的</w:t>
      </w:r>
      <w:r>
        <w:tab/>
      </w:r>
      <w:r>
        <w:fldChar w:fldCharType="begin"/>
      </w:r>
      <w:r>
        <w:instrText xml:space="preserve"> PAGEREF _Toc11870 \h </w:instrText>
      </w:r>
      <w:r>
        <w:fldChar w:fldCharType="separate"/>
      </w:r>
      <w:r>
        <w:t>4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_Toc3932 </w:instrText>
      </w:r>
      <w:r>
        <w:rPr>
          <w:bCs/>
          <w:lang w:val="zh-CN"/>
        </w:rPr>
        <w:fldChar w:fldCharType="separate"/>
      </w:r>
      <w:r>
        <w:rPr>
          <w:rFonts w:ascii="宋体" w:hAnsi="宋体" w:eastAsia="宋体"/>
        </w:rPr>
        <w:t xml:space="preserve">1.2 </w:t>
      </w:r>
      <w:r>
        <w:rPr>
          <w:rFonts w:hint="eastAsia" w:ascii="宋体" w:hAnsi="宋体" w:eastAsia="宋体"/>
        </w:rPr>
        <w:t>适用范围</w:t>
      </w:r>
      <w:r>
        <w:tab/>
      </w:r>
      <w:r>
        <w:fldChar w:fldCharType="begin"/>
      </w:r>
      <w:r>
        <w:instrText xml:space="preserve"> PAGEREF _Toc3932 \h </w:instrText>
      </w:r>
      <w:r>
        <w:fldChar w:fldCharType="separate"/>
      </w:r>
      <w:r>
        <w:t>4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8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_Toc15648 </w:instrText>
      </w:r>
      <w:r>
        <w:rPr>
          <w:bCs/>
          <w:lang w:val="zh-CN"/>
        </w:rPr>
        <w:fldChar w:fldCharType="separate"/>
      </w:r>
      <w:r>
        <w:t xml:space="preserve">2 </w:t>
      </w:r>
      <w:r>
        <w:rPr>
          <w:rFonts w:hint="eastAsia"/>
        </w:rPr>
        <w:t>系统概述</w:t>
      </w:r>
      <w:r>
        <w:tab/>
      </w:r>
      <w:r>
        <w:fldChar w:fldCharType="begin"/>
      </w:r>
      <w:r>
        <w:instrText xml:space="preserve"> PAGEREF _Toc15648 \h </w:instrText>
      </w:r>
      <w:r>
        <w:fldChar w:fldCharType="separate"/>
      </w:r>
      <w:r>
        <w:t>4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_Toc32139 </w:instrText>
      </w:r>
      <w:r>
        <w:rPr>
          <w:bCs/>
          <w:lang w:val="zh-CN"/>
        </w:rPr>
        <w:fldChar w:fldCharType="separate"/>
      </w:r>
      <w:r>
        <w:rPr>
          <w:rFonts w:ascii="宋体" w:hAnsi="宋体" w:eastAsia="宋体"/>
          <w:szCs w:val="28"/>
        </w:rPr>
        <w:t xml:space="preserve">2.1 </w:t>
      </w:r>
      <w:r>
        <w:rPr>
          <w:rFonts w:hint="eastAsia" w:ascii="宋体" w:hAnsi="宋体" w:eastAsia="宋体"/>
          <w:szCs w:val="28"/>
        </w:rPr>
        <w:t>系统简介</w:t>
      </w:r>
      <w:r>
        <w:tab/>
      </w:r>
      <w:r>
        <w:fldChar w:fldCharType="begin"/>
      </w:r>
      <w:r>
        <w:instrText xml:space="preserve"> PAGEREF _Toc32139 \h </w:instrText>
      </w:r>
      <w:r>
        <w:fldChar w:fldCharType="separate"/>
      </w:r>
      <w:r>
        <w:t>4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8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_Toc27482 </w:instrText>
      </w:r>
      <w:r>
        <w:rPr>
          <w:bCs/>
          <w:lang w:val="zh-CN"/>
        </w:rPr>
        <w:fldChar w:fldCharType="separate"/>
      </w:r>
      <w:r>
        <w:t xml:space="preserve">3 </w:t>
      </w:r>
      <w:r>
        <w:rPr>
          <w:rFonts w:hint="eastAsia"/>
        </w:rPr>
        <w:t>登录方式</w:t>
      </w:r>
      <w:r>
        <w:tab/>
      </w:r>
      <w:r>
        <w:fldChar w:fldCharType="begin"/>
      </w:r>
      <w:r>
        <w:instrText xml:space="preserve"> PAGEREF _Toc27482 \h </w:instrText>
      </w:r>
      <w:r>
        <w:fldChar w:fldCharType="separate"/>
      </w:r>
      <w:r>
        <w:t>4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8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_Toc12332 </w:instrText>
      </w:r>
      <w:r>
        <w:rPr>
          <w:bCs/>
          <w:lang w:val="zh-CN"/>
        </w:rPr>
        <w:fldChar w:fldCharType="separate"/>
      </w:r>
      <w:r>
        <w:t xml:space="preserve">4 </w:t>
      </w:r>
      <w:r>
        <w:rPr>
          <w:rFonts w:hint="eastAsia"/>
        </w:rPr>
        <w:t>审批操作方法</w:t>
      </w:r>
      <w:r>
        <w:tab/>
      </w:r>
      <w:r>
        <w:fldChar w:fldCharType="begin"/>
      </w:r>
      <w:r>
        <w:instrText xml:space="preserve"> PAGEREF _Toc12332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8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_Toc9384 </w:instrText>
      </w:r>
      <w:r>
        <w:rPr>
          <w:bCs/>
          <w:lang w:val="zh-CN"/>
        </w:rPr>
        <w:fldChar w:fldCharType="separate"/>
      </w:r>
      <w:r>
        <w:t xml:space="preserve">5 </w:t>
      </w:r>
      <w:r>
        <w:rPr>
          <w:rFonts w:hint="eastAsia"/>
        </w:rPr>
        <w:t>经费认领</w:t>
      </w:r>
      <w:r>
        <w:rPr>
          <w:rFonts w:hint="eastAsia"/>
          <w:lang w:val="en-US" w:eastAsia="zh-CN"/>
        </w:rPr>
        <w:t>审批</w:t>
      </w:r>
      <w:r>
        <w:tab/>
      </w:r>
      <w:r>
        <w:fldChar w:fldCharType="begin"/>
      </w:r>
      <w:r>
        <w:instrText xml:space="preserve"> PAGEREF _Toc9384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_Toc30033 </w:instrText>
      </w:r>
      <w:r>
        <w:rPr>
          <w:bCs/>
          <w:lang w:val="zh-CN"/>
        </w:rPr>
        <w:fldChar w:fldCharType="separate"/>
      </w:r>
      <w:r>
        <w:rPr>
          <w:rFonts w:ascii="宋体" w:hAnsi="宋体" w:eastAsia="宋体"/>
          <w:szCs w:val="28"/>
        </w:rPr>
        <w:t xml:space="preserve">5.1 </w:t>
      </w:r>
      <w:r>
        <w:rPr>
          <w:rFonts w:hint="eastAsia" w:ascii="宋体" w:hAnsi="宋体" w:eastAsia="宋体"/>
          <w:szCs w:val="28"/>
        </w:rPr>
        <w:t>经费认领审核</w:t>
      </w:r>
      <w:r>
        <w:tab/>
      </w:r>
      <w:r>
        <w:fldChar w:fldCharType="begin"/>
      </w:r>
      <w:r>
        <w:instrText xml:space="preserve"> PAGEREF _Toc30033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_Toc21550 </w:instrText>
      </w:r>
      <w:r>
        <w:rPr>
          <w:bCs/>
          <w:lang w:val="zh-CN"/>
        </w:rPr>
        <w:fldChar w:fldCharType="separate"/>
      </w:r>
      <w:r>
        <w:rPr>
          <w:rFonts w:hint="eastAsia"/>
          <w:szCs w:val="24"/>
        </w:rPr>
        <w:t xml:space="preserve">5.1.1 </w:t>
      </w:r>
      <w:r>
        <w:rPr>
          <w:rFonts w:hint="eastAsia" w:ascii="宋体" w:hAnsi="宋体"/>
          <w:szCs w:val="24"/>
          <w:lang w:val="en-US" w:eastAsia="zh-CN"/>
        </w:rPr>
        <w:t>纵向项目</w:t>
      </w:r>
      <w:r>
        <w:rPr>
          <w:rFonts w:hint="eastAsia" w:ascii="宋体" w:hAnsi="宋体" w:eastAsia="宋体"/>
          <w:szCs w:val="24"/>
        </w:rPr>
        <w:t>经费认领审核</w:t>
      </w:r>
      <w:r>
        <w:tab/>
      </w:r>
      <w:r>
        <w:fldChar w:fldCharType="begin"/>
      </w:r>
      <w:r>
        <w:instrText xml:space="preserve"> PAGEREF _Toc21550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_Toc29564 </w:instrText>
      </w:r>
      <w:r>
        <w:rPr>
          <w:bCs/>
          <w:lang w:val="zh-CN"/>
        </w:rPr>
        <w:fldChar w:fldCharType="separate"/>
      </w:r>
      <w:r>
        <w:rPr>
          <w:rFonts w:hint="eastAsia"/>
          <w:szCs w:val="24"/>
        </w:rPr>
        <w:t xml:space="preserve">5.1.2 </w:t>
      </w:r>
      <w:r>
        <w:rPr>
          <w:rFonts w:hint="eastAsia" w:ascii="宋体" w:hAnsi="宋体"/>
          <w:szCs w:val="24"/>
          <w:lang w:val="en-US" w:eastAsia="zh-CN"/>
        </w:rPr>
        <w:t>横向项目</w:t>
      </w:r>
      <w:r>
        <w:rPr>
          <w:rFonts w:hint="eastAsia" w:ascii="宋体" w:hAnsi="宋体" w:eastAsia="宋体"/>
          <w:szCs w:val="24"/>
        </w:rPr>
        <w:t>经费认领审核</w:t>
      </w:r>
      <w:r>
        <w:tab/>
      </w:r>
      <w:r>
        <w:fldChar w:fldCharType="begin"/>
      </w:r>
      <w:r>
        <w:instrText xml:space="preserve"> PAGEREF _Toc29564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_Toc5777 </w:instrText>
      </w:r>
      <w:r>
        <w:rPr>
          <w:bCs/>
          <w:lang w:val="zh-CN"/>
        </w:rPr>
        <w:fldChar w:fldCharType="separate"/>
      </w:r>
      <w:r>
        <w:rPr>
          <w:rFonts w:hint="eastAsia"/>
          <w:szCs w:val="24"/>
        </w:rPr>
        <w:t xml:space="preserve">5.1.3 </w:t>
      </w:r>
      <w:r>
        <w:rPr>
          <w:rFonts w:hint="eastAsia" w:ascii="宋体" w:hAnsi="宋体"/>
          <w:szCs w:val="24"/>
          <w:lang w:val="en-US" w:eastAsia="zh-CN"/>
        </w:rPr>
        <w:t>横向项目</w:t>
      </w:r>
      <w:r>
        <w:rPr>
          <w:rFonts w:hint="eastAsia" w:ascii="宋体" w:hAnsi="宋体" w:eastAsia="宋体"/>
          <w:szCs w:val="24"/>
        </w:rPr>
        <w:t>经费认领审核</w:t>
      </w:r>
      <w:r>
        <w:tab/>
      </w:r>
      <w:r>
        <w:fldChar w:fldCharType="begin"/>
      </w:r>
      <w:r>
        <w:instrText xml:space="preserve"> PAGEREF _Toc5777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_Toc19524 </w:instrText>
      </w:r>
      <w:r>
        <w:rPr>
          <w:bCs/>
          <w:lang w:val="zh-CN"/>
        </w:rPr>
        <w:fldChar w:fldCharType="separate"/>
      </w:r>
      <w:r>
        <w:rPr>
          <w:rFonts w:ascii="宋体" w:hAnsi="宋体" w:eastAsia="宋体"/>
          <w:szCs w:val="28"/>
        </w:rPr>
        <w:t xml:space="preserve">5.2 </w:t>
      </w:r>
      <w:r>
        <w:rPr>
          <w:rFonts w:hint="eastAsia" w:ascii="宋体" w:hAnsi="宋体" w:eastAsia="宋体"/>
          <w:szCs w:val="28"/>
        </w:rPr>
        <w:t>经费查询</w:t>
      </w:r>
      <w:r>
        <w:tab/>
      </w:r>
      <w:r>
        <w:fldChar w:fldCharType="begin"/>
      </w:r>
      <w:r>
        <w:instrText xml:space="preserve"> PAGEREF _Toc19524 \h </w:instrText>
      </w:r>
      <w:r>
        <w:fldChar w:fldCharType="separate"/>
      </w:r>
      <w:r>
        <w:t>9</w:t>
      </w:r>
      <w:r>
        <w:fldChar w:fldCharType="end"/>
      </w:r>
      <w:r>
        <w:rPr>
          <w:bCs/>
          <w:lang w:val="zh-CN"/>
        </w:rPr>
        <w:fldChar w:fldCharType="end"/>
      </w:r>
    </w:p>
    <w:p>
      <w:r>
        <w:rPr>
          <w:bCs/>
          <w:lang w:val="zh-CN"/>
        </w:rPr>
        <w:fldChar w:fldCharType="end"/>
      </w:r>
    </w:p>
    <w:p/>
    <w:p>
      <w:pPr>
        <w:widowControl/>
        <w:jc w:val="left"/>
      </w:pPr>
      <w:r>
        <w:br w:type="page"/>
      </w:r>
    </w:p>
    <w:p>
      <w:pPr>
        <w:pStyle w:val="2"/>
        <w:numPr>
          <w:ilvl w:val="0"/>
          <w:numId w:val="2"/>
        </w:numPr>
        <w:snapToGrid w:val="0"/>
        <w:spacing w:before="960" w:line="400" w:lineRule="exact"/>
        <w:ind w:left="431" w:hanging="431"/>
      </w:pPr>
      <w:bookmarkStart w:id="0" w:name="_Toc16337"/>
      <w:r>
        <w:rPr>
          <w:rFonts w:hint="eastAsia"/>
        </w:rPr>
        <w:t>引言</w:t>
      </w:r>
      <w:bookmarkEnd w:id="0"/>
    </w:p>
    <w:p>
      <w:pPr>
        <w:pStyle w:val="3"/>
        <w:numPr>
          <w:ilvl w:val="1"/>
          <w:numId w:val="2"/>
        </w:numPr>
        <w:spacing w:after="0" w:line="413" w:lineRule="auto"/>
        <w:ind w:left="578" w:hanging="578"/>
        <w:rPr>
          <w:rFonts w:ascii="宋体" w:hAnsi="宋体" w:eastAsia="宋体"/>
        </w:rPr>
      </w:pPr>
      <w:bookmarkStart w:id="1" w:name="_Toc11870"/>
      <w:r>
        <w:rPr>
          <w:rFonts w:hint="eastAsia" w:ascii="宋体" w:hAnsi="宋体" w:eastAsia="宋体"/>
        </w:rPr>
        <w:t>编写目的</w:t>
      </w:r>
      <w:bookmarkEnd w:id="1"/>
    </w:p>
    <w:p>
      <w:pPr>
        <w:spacing w:line="400" w:lineRule="exact"/>
        <w:ind w:left="105" w:leftChars="50" w:firstLine="525" w:firstLineChars="250"/>
        <w:rPr>
          <w:iCs/>
        </w:rPr>
      </w:pPr>
      <w:r>
        <w:rPr>
          <w:rFonts w:hint="eastAsia"/>
          <w:iCs/>
        </w:rPr>
        <w:t>为了使用户借助本手册的帮助，掌握</w:t>
      </w:r>
      <w:r>
        <w:rPr>
          <w:rFonts w:hint="eastAsia"/>
          <w:iCs/>
          <w:lang w:val="en-US" w:eastAsia="zh-CN"/>
        </w:rPr>
        <w:t>科研</w:t>
      </w:r>
      <w:bookmarkStart w:id="13" w:name="_GoBack"/>
      <w:bookmarkEnd w:id="13"/>
      <w:r>
        <w:rPr>
          <w:rFonts w:hint="eastAsia"/>
          <w:iCs/>
        </w:rPr>
        <w:t>项目管理系统的使用方法，熟悉系统的操作要点和操作注意事项。</w:t>
      </w:r>
    </w:p>
    <w:p>
      <w:pPr>
        <w:pStyle w:val="3"/>
        <w:numPr>
          <w:ilvl w:val="1"/>
          <w:numId w:val="2"/>
        </w:numPr>
        <w:spacing w:after="0" w:line="413" w:lineRule="auto"/>
        <w:ind w:left="578" w:hanging="578"/>
        <w:rPr>
          <w:rFonts w:ascii="宋体" w:hAnsi="宋体" w:eastAsia="宋体"/>
        </w:rPr>
      </w:pPr>
      <w:bookmarkStart w:id="2" w:name="_Toc3932"/>
      <w:r>
        <w:rPr>
          <w:rFonts w:hint="eastAsia" w:ascii="宋体" w:hAnsi="宋体" w:eastAsia="宋体"/>
        </w:rPr>
        <w:t>适用范围</w:t>
      </w:r>
      <w:bookmarkEnd w:id="2"/>
    </w:p>
    <w:p>
      <w:pPr>
        <w:spacing w:line="400" w:lineRule="exact"/>
        <w:ind w:left="105" w:leftChars="50" w:firstLine="525" w:firstLineChars="250"/>
      </w:pPr>
      <w:r>
        <w:rPr>
          <w:rFonts w:hint="eastAsia"/>
        </w:rPr>
        <w:t>使用本系统的经费业务主管。</w:t>
      </w:r>
    </w:p>
    <w:p>
      <w:pPr>
        <w:pStyle w:val="2"/>
        <w:numPr>
          <w:ilvl w:val="0"/>
          <w:numId w:val="2"/>
        </w:numPr>
        <w:snapToGrid w:val="0"/>
        <w:spacing w:before="960" w:line="400" w:lineRule="exact"/>
        <w:ind w:left="431" w:hanging="431"/>
      </w:pPr>
      <w:bookmarkStart w:id="3" w:name="_Toc15648"/>
      <w:r>
        <w:rPr>
          <w:rFonts w:hint="eastAsia"/>
        </w:rPr>
        <w:t>系统概述</w:t>
      </w:r>
      <w:bookmarkEnd w:id="3"/>
    </w:p>
    <w:p>
      <w:pPr>
        <w:pStyle w:val="3"/>
        <w:numPr>
          <w:ilvl w:val="1"/>
          <w:numId w:val="2"/>
        </w:numPr>
        <w:spacing w:after="0" w:line="413" w:lineRule="auto"/>
        <w:ind w:left="578" w:hanging="578"/>
        <w:rPr>
          <w:rFonts w:ascii="宋体" w:hAnsi="宋体" w:eastAsia="宋体"/>
          <w:sz w:val="28"/>
          <w:szCs w:val="28"/>
        </w:rPr>
      </w:pPr>
      <w:bookmarkStart w:id="4" w:name="_Toc32139"/>
      <w:r>
        <w:rPr>
          <w:rFonts w:hint="eastAsia" w:ascii="宋体" w:hAnsi="宋体" w:eastAsia="宋体"/>
          <w:sz w:val="28"/>
          <w:szCs w:val="28"/>
        </w:rPr>
        <w:t>系统简介</w:t>
      </w:r>
      <w:bookmarkEnd w:id="4"/>
    </w:p>
    <w:p>
      <w:pPr>
        <w:spacing w:line="400" w:lineRule="exact"/>
        <w:ind w:left="105" w:leftChars="50" w:firstLine="525" w:firstLineChars="250"/>
        <w:rPr>
          <w:rFonts w:hint="eastAsia"/>
          <w:iCs/>
        </w:rPr>
      </w:pPr>
      <w:r>
        <w:rPr>
          <w:rFonts w:hint="eastAsia"/>
          <w:iCs/>
        </w:rPr>
        <w:t>本次上线的是同济大学</w:t>
      </w:r>
      <w:r>
        <w:rPr>
          <w:rFonts w:hint="eastAsia"/>
          <w:iCs/>
          <w:lang w:val="en-US" w:eastAsia="zh-CN"/>
        </w:rPr>
        <w:t>横向项目、专利转化项目管理的模块，原横向项目数据迁移到本系统，横向和专利转化项目的立项、变更、经费认领、结题、结账都和纵向项目一样在科研系统中操作</w:t>
      </w:r>
      <w:r>
        <w:rPr>
          <w:rFonts w:hint="eastAsia"/>
          <w:iCs/>
        </w:rPr>
        <w:t>。</w:t>
      </w:r>
    </w:p>
    <w:p>
      <w:pPr>
        <w:spacing w:line="400" w:lineRule="exact"/>
        <w:ind w:left="105" w:leftChars="50" w:firstLine="525" w:firstLineChars="250"/>
      </w:pPr>
      <w:r>
        <w:rPr>
          <w:rFonts w:hint="eastAsia"/>
          <w:iCs/>
        </w:rPr>
        <w:t>经费主管在系统中要操作的是</w:t>
      </w:r>
      <w:r>
        <w:rPr>
          <w:rFonts w:hint="eastAsia"/>
          <w:iCs/>
          <w:lang w:val="en-US" w:eastAsia="zh-CN"/>
        </w:rPr>
        <w:t>横向、纵向、专利转化项目</w:t>
      </w:r>
      <w:r>
        <w:rPr>
          <w:rFonts w:hint="eastAsia"/>
          <w:iCs/>
        </w:rPr>
        <w:t>经费到账流程的审核。经费主管还可以作废到账单据。</w:t>
      </w:r>
    </w:p>
    <w:p>
      <w:pPr>
        <w:pStyle w:val="2"/>
        <w:numPr>
          <w:ilvl w:val="0"/>
          <w:numId w:val="2"/>
        </w:numPr>
      </w:pPr>
      <w:bookmarkStart w:id="5" w:name="_Toc27482"/>
      <w:r>
        <w:rPr>
          <w:rFonts w:hint="eastAsia"/>
        </w:rPr>
        <w:t>登录方式</w:t>
      </w:r>
      <w:bookmarkEnd w:id="5"/>
    </w:p>
    <w:tbl>
      <w:tblPr>
        <w:tblStyle w:val="10"/>
        <w:tblW w:w="85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22"/>
        <w:gridCol w:w="637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4" w:hRule="atLeast"/>
        </w:trPr>
        <w:tc>
          <w:tcPr>
            <w:tcW w:w="2122" w:type="dxa"/>
            <w:shd w:val="clear" w:color="auto" w:fill="D9D9D9"/>
          </w:tcPr>
          <w:p>
            <w:pPr>
              <w:spacing w:after="120"/>
              <w:rPr>
                <w:rFonts w:cs="Arial"/>
                <w:szCs w:val="21"/>
              </w:rPr>
            </w:pPr>
            <w:r>
              <w:rPr>
                <w:rFonts w:hint="eastAsia" w:cs="Arial"/>
                <w:szCs w:val="21"/>
              </w:rPr>
              <w:t>系统地址</w:t>
            </w:r>
          </w:p>
        </w:tc>
        <w:tc>
          <w:tcPr>
            <w:tcW w:w="6378" w:type="dxa"/>
          </w:tcPr>
          <w:p>
            <w:pPr>
              <w:autoSpaceDE w:val="0"/>
              <w:autoSpaceDN w:val="0"/>
              <w:adjustRightInd w:val="0"/>
              <w:jc w:val="left"/>
              <w:rPr>
                <w:rFonts w:cs="Arial"/>
                <w:iCs/>
                <w:szCs w:val="21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ky.tongji.edu.cn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2122" w:type="dxa"/>
            <w:shd w:val="clear" w:color="auto" w:fill="D9D9D9"/>
          </w:tcPr>
          <w:p>
            <w:pPr>
              <w:spacing w:after="120"/>
              <w:rPr>
                <w:rFonts w:cs="Arial"/>
                <w:szCs w:val="21"/>
              </w:rPr>
            </w:pPr>
            <w:r>
              <w:rPr>
                <w:rFonts w:hint="eastAsia" w:cs="Arial"/>
                <w:szCs w:val="21"/>
              </w:rPr>
              <w:t>账号</w:t>
            </w:r>
          </w:p>
        </w:tc>
        <w:tc>
          <w:tcPr>
            <w:tcW w:w="6378" w:type="dxa"/>
          </w:tcPr>
          <w:p>
            <w:pPr>
              <w:spacing w:after="120"/>
              <w:rPr>
                <w:rFonts w:hint="default" w:eastAsia="宋体" w:cs="Arial"/>
                <w:iCs/>
                <w:szCs w:val="21"/>
                <w:lang w:val="en-US" w:eastAsia="zh-CN"/>
              </w:rPr>
            </w:pPr>
            <w:r>
              <w:rPr>
                <w:rFonts w:hint="eastAsia" w:cs="Arial"/>
                <w:iCs/>
                <w:szCs w:val="21"/>
                <w:lang w:val="en-US" w:eastAsia="zh-CN"/>
              </w:rPr>
              <w:t>工号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2122" w:type="dxa"/>
            <w:shd w:val="clear" w:color="auto" w:fill="D9D9D9"/>
          </w:tcPr>
          <w:p>
            <w:pPr>
              <w:spacing w:after="120"/>
              <w:rPr>
                <w:rFonts w:cs="Arial"/>
                <w:szCs w:val="21"/>
              </w:rPr>
            </w:pPr>
            <w:r>
              <w:rPr>
                <w:rFonts w:hint="eastAsia" w:cs="Arial"/>
                <w:szCs w:val="21"/>
              </w:rPr>
              <w:t>说明</w:t>
            </w:r>
          </w:p>
        </w:tc>
        <w:tc>
          <w:tcPr>
            <w:tcW w:w="6378" w:type="dxa"/>
          </w:tcPr>
          <w:p>
            <w:pPr>
              <w:spacing w:after="120"/>
              <w:rPr>
                <w:rFonts w:hint="default" w:cs="Arial"/>
                <w:iCs/>
                <w:szCs w:val="21"/>
                <w:lang w:val="en-US" w:eastAsia="zh-CN"/>
              </w:rPr>
            </w:pPr>
            <w:r>
              <w:rPr>
                <w:rFonts w:hint="eastAsia" w:cs="Arial"/>
                <w:iCs/>
                <w:szCs w:val="21"/>
                <w:lang w:val="en-US" w:eastAsia="zh-CN"/>
              </w:rPr>
              <w:t>使用统一身份认证登录</w:t>
            </w:r>
          </w:p>
        </w:tc>
      </w:tr>
    </w:tbl>
    <w:p>
      <w:pPr>
        <w:pageBreakBefore w:val="0"/>
        <w:widowControl w:val="0"/>
        <w:numPr>
          <w:ilvl w:val="0"/>
          <w:numId w:val="0"/>
        </w:numPr>
        <w:tabs>
          <w:tab w:val="left" w:pos="855"/>
        </w:tabs>
        <w:kinsoku/>
        <w:wordWrap/>
        <w:overflowPunct/>
        <w:topLinePunct w:val="0"/>
        <w:autoSpaceDE/>
        <w:autoSpaceDN/>
        <w:bidi w:val="0"/>
        <w:adjustRightInd/>
        <w:snapToGrid/>
        <w:ind w:leftChars="0"/>
        <w:jc w:val="center"/>
        <w:textAlignment w:val="auto"/>
        <w:outlineLvl w:val="9"/>
      </w:pPr>
      <w:r>
        <w:drawing>
          <wp:inline distT="0" distB="0" distL="114300" distR="114300">
            <wp:extent cx="2994025" cy="3305175"/>
            <wp:effectExtent l="0" t="0" r="15875" b="9525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9402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</w:pPr>
      <w:r>
        <w:drawing>
          <wp:inline distT="0" distB="0" distL="114300" distR="114300">
            <wp:extent cx="5265420" cy="1651635"/>
            <wp:effectExtent l="0" t="0" r="1143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65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2"/>
        </w:numPr>
      </w:pPr>
      <w:bookmarkStart w:id="6" w:name="_Toc12332"/>
      <w:r>
        <w:rPr>
          <w:rFonts w:hint="eastAsia"/>
        </w:rPr>
        <w:t>审批操作方法</w:t>
      </w:r>
      <w:bookmarkEnd w:id="6"/>
    </w:p>
    <w:p>
      <w:r>
        <w:rPr>
          <w:rFonts w:hint="eastAsia"/>
        </w:rPr>
        <w:t>第一步：登录系统后在首页看到有待办消息</w:t>
      </w:r>
    </w:p>
    <w:p>
      <w:pPr>
        <w:pStyle w:val="20"/>
        <w:ind w:left="432" w:firstLine="0" w:firstLineChars="0"/>
      </w:pPr>
    </w:p>
    <w:p>
      <w:pPr>
        <w:pStyle w:val="20"/>
        <w:ind w:left="432" w:firstLine="0" w:firstLineChars="0"/>
        <w:jc w:val="center"/>
      </w:pPr>
      <w:r>
        <w:drawing>
          <wp:inline distT="0" distB="0" distL="114300" distR="114300">
            <wp:extent cx="5267325" cy="1950720"/>
            <wp:effectExtent l="9525" t="9525" r="19050" b="2095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5072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20"/>
        <w:ind w:left="432" w:firstLine="0" w:firstLineChars="0"/>
      </w:pPr>
    </w:p>
    <w:p>
      <w:r>
        <w:rPr>
          <w:rFonts w:hint="eastAsia"/>
        </w:rPr>
        <w:t>第二步：点击待办消息打开单据详情</w:t>
      </w:r>
    </w:p>
    <w:p>
      <w:pPr>
        <w:pStyle w:val="20"/>
        <w:ind w:left="432" w:firstLine="0" w:firstLineChars="0"/>
      </w:pPr>
      <w:r>
        <w:rPr>
          <w:rFonts w:hint="eastAsia"/>
        </w:rPr>
        <w:t>操作按钮说明：</w:t>
      </w:r>
    </w:p>
    <w:p>
      <w:pPr>
        <w:pStyle w:val="20"/>
        <w:ind w:left="432" w:firstLine="0" w:firstLineChars="0"/>
      </w:pPr>
      <w:r>
        <w:rPr>
          <w:rFonts w:hint="eastAsia"/>
          <w:b/>
          <w:bCs/>
        </w:rPr>
        <w:t>同意：</w:t>
      </w:r>
      <w:r>
        <w:rPr>
          <w:rFonts w:hint="eastAsia"/>
        </w:rPr>
        <w:t>审核同意，提交后流程进入下一环节；</w:t>
      </w:r>
    </w:p>
    <w:p>
      <w:pPr>
        <w:pStyle w:val="20"/>
        <w:ind w:left="432" w:firstLine="0" w:firstLineChars="0"/>
      </w:pPr>
      <w:r>
        <w:rPr>
          <w:rFonts w:hint="eastAsia"/>
          <w:b/>
          <w:bCs/>
        </w:rPr>
        <w:t>加签：</w:t>
      </w:r>
      <w:r>
        <w:rPr>
          <w:rFonts w:hint="eastAsia"/>
        </w:rPr>
        <w:t>审核同意，在下一环节审批人审批之前增加额外的审批人；</w:t>
      </w:r>
    </w:p>
    <w:p>
      <w:pPr>
        <w:pStyle w:val="20"/>
        <w:ind w:left="432" w:firstLine="0" w:firstLineChars="0"/>
      </w:pPr>
      <w:r>
        <w:rPr>
          <w:rFonts w:hint="eastAsia"/>
          <w:b/>
          <w:bCs/>
        </w:rPr>
        <w:t>转办：</w:t>
      </w:r>
      <w:r>
        <w:rPr>
          <w:rFonts w:hint="eastAsia"/>
        </w:rPr>
        <w:t>提交下一环节审批人之前转交他们办理；</w:t>
      </w:r>
    </w:p>
    <w:p>
      <w:pPr>
        <w:pStyle w:val="20"/>
        <w:ind w:left="432" w:firstLine="0" w:firstLineChars="0"/>
      </w:pPr>
      <w:r>
        <w:rPr>
          <w:rFonts w:hint="eastAsia"/>
          <w:b/>
          <w:bCs/>
        </w:rPr>
        <w:t>退回：</w:t>
      </w:r>
      <w:r>
        <w:rPr>
          <w:rFonts w:hint="eastAsia"/>
        </w:rPr>
        <w:t>审批不同意，退回发起人；</w:t>
      </w:r>
    </w:p>
    <w:p>
      <w:pPr>
        <w:pStyle w:val="20"/>
        <w:ind w:left="432" w:firstLine="0" w:firstLineChars="0"/>
      </w:pPr>
      <w:r>
        <w:rPr>
          <w:rFonts w:hint="eastAsia"/>
          <w:b/>
          <w:bCs/>
        </w:rPr>
        <w:t>终止流程：</w:t>
      </w:r>
      <w:r>
        <w:rPr>
          <w:rFonts w:hint="eastAsia"/>
        </w:rPr>
        <w:t>终止后流程不再继续流转。</w:t>
      </w:r>
    </w:p>
    <w:p>
      <w:pPr>
        <w:pStyle w:val="20"/>
        <w:ind w:left="432" w:firstLine="0" w:firstLineChars="0"/>
      </w:pPr>
      <w:r>
        <w:drawing>
          <wp:inline distT="0" distB="0" distL="0" distR="0">
            <wp:extent cx="5274310" cy="396557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2"/>
        </w:numPr>
      </w:pPr>
      <w:bookmarkStart w:id="7" w:name="_Toc9384"/>
      <w:r>
        <w:rPr>
          <w:rFonts w:hint="eastAsia"/>
        </w:rPr>
        <w:t>经费认领</w:t>
      </w:r>
      <w:r>
        <w:rPr>
          <w:rFonts w:hint="eastAsia"/>
          <w:lang w:val="en-US" w:eastAsia="zh-CN"/>
        </w:rPr>
        <w:t>审批</w:t>
      </w:r>
      <w:bookmarkEnd w:id="7"/>
    </w:p>
    <w:p>
      <w:r>
        <w:rPr>
          <w:rFonts w:hint="eastAsia"/>
        </w:rPr>
        <w:t>经费认领在科研系统中的流程是：</w:t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老师发起认领流程——2、经费业务主管审核——3、财务审核——认领流程完成。</w:t>
      </w:r>
    </w:p>
    <w:p>
      <w:pPr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专利转化项目的经费认领流程是：</w:t>
      </w:r>
    </w:p>
    <w:p>
      <w:pPr>
        <w:numPr>
          <w:ilvl w:val="0"/>
          <w:numId w:val="4"/>
        </w:numPr>
        <w:rPr>
          <w:rFonts w:hint="default"/>
          <w:lang w:val="en-US" w:eastAsia="zh-CN"/>
        </w:rPr>
      </w:pPr>
      <w:r>
        <w:rPr>
          <w:rFonts w:hint="eastAsia"/>
        </w:rPr>
        <w:t>老师发起</w:t>
      </w:r>
      <w:r>
        <w:rPr>
          <w:rFonts w:hint="eastAsia"/>
          <w:lang w:val="en-US" w:eastAsia="zh-CN"/>
        </w:rPr>
        <w:t>专利转化项目</w:t>
      </w:r>
      <w:r>
        <w:rPr>
          <w:rFonts w:hint="eastAsia"/>
        </w:rPr>
        <w:t>认领流程——2、</w:t>
      </w:r>
      <w:r>
        <w:rPr>
          <w:rFonts w:hint="eastAsia"/>
          <w:lang w:val="en-US" w:eastAsia="zh-CN"/>
        </w:rPr>
        <w:t>专利管理人</w:t>
      </w:r>
      <w:r>
        <w:rPr>
          <w:rFonts w:hint="eastAsia"/>
        </w:rPr>
        <w:t>——3、</w:t>
      </w:r>
      <w:r>
        <w:rPr>
          <w:rFonts w:hint="eastAsia"/>
          <w:lang w:val="en-US" w:eastAsia="zh-CN"/>
        </w:rPr>
        <w:t>专利转化管理人</w:t>
      </w:r>
      <w:r>
        <w:rPr>
          <w:rFonts w:hint="eastAsia"/>
        </w:rPr>
        <w:t>——完成。</w:t>
      </w:r>
    </w:p>
    <w:p>
      <w:pPr>
        <w:pStyle w:val="3"/>
        <w:numPr>
          <w:ilvl w:val="1"/>
          <w:numId w:val="2"/>
        </w:numPr>
        <w:spacing w:after="0" w:line="413" w:lineRule="auto"/>
        <w:ind w:left="578" w:hanging="578"/>
        <w:rPr>
          <w:rFonts w:ascii="宋体" w:hAnsi="宋体" w:eastAsia="宋体"/>
          <w:sz w:val="28"/>
          <w:szCs w:val="28"/>
        </w:rPr>
      </w:pPr>
      <w:bookmarkStart w:id="8" w:name="_Toc30033"/>
      <w:r>
        <w:rPr>
          <w:rFonts w:hint="eastAsia" w:ascii="宋体" w:hAnsi="宋体" w:eastAsia="宋体"/>
          <w:sz w:val="28"/>
          <w:szCs w:val="28"/>
        </w:rPr>
        <w:t>经费认领审核</w:t>
      </w:r>
      <w:bookmarkEnd w:id="8"/>
    </w:p>
    <w:p>
      <w:pPr>
        <w:rPr>
          <w:rFonts w:hint="eastAsia"/>
        </w:rPr>
      </w:pPr>
      <w:r>
        <w:rPr>
          <w:rFonts w:hint="eastAsia"/>
        </w:rPr>
        <w:t>经费主管审核经费到账时，</w:t>
      </w:r>
      <w:r>
        <w:rPr>
          <w:rFonts w:hint="eastAsia"/>
          <w:lang w:val="en-US" w:eastAsia="zh-CN"/>
        </w:rPr>
        <w:t>审批</w:t>
      </w:r>
      <w:r>
        <w:rPr>
          <w:rFonts w:hint="eastAsia"/>
        </w:rPr>
        <w:t>本次提扣信息。</w:t>
      </w:r>
    </w:p>
    <w:p>
      <w:pPr>
        <w:pStyle w:val="4"/>
        <w:keepNext/>
        <w:keepLines/>
        <w:pageBreakBefore w:val="0"/>
        <w:widowControl w:val="0"/>
        <w:numPr>
          <w:ilvl w:val="2"/>
          <w:numId w:val="2"/>
        </w:numPr>
        <w:tabs>
          <w:tab w:val="left" w:pos="1275"/>
          <w:tab w:val="clear" w:pos="720"/>
          <w:tab w:val="clear" w:pos="169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13" w:lineRule="auto"/>
        <w:ind w:left="578" w:hanging="578"/>
        <w:textAlignment w:val="auto"/>
        <w:outlineLvl w:val="2"/>
        <w:rPr>
          <w:rFonts w:hint="eastAsia"/>
          <w:sz w:val="24"/>
          <w:szCs w:val="24"/>
        </w:rPr>
      </w:pPr>
      <w:bookmarkStart w:id="9" w:name="_Toc21550"/>
      <w:r>
        <w:rPr>
          <w:rFonts w:hint="eastAsia" w:ascii="宋体" w:hAnsi="宋体"/>
          <w:sz w:val="24"/>
          <w:szCs w:val="24"/>
          <w:lang w:val="en-US" w:eastAsia="zh-CN"/>
        </w:rPr>
        <w:t>纵向项目</w:t>
      </w:r>
      <w:r>
        <w:rPr>
          <w:rFonts w:hint="eastAsia" w:ascii="宋体" w:hAnsi="宋体" w:eastAsia="宋体"/>
          <w:sz w:val="24"/>
          <w:szCs w:val="24"/>
        </w:rPr>
        <w:t>经费认领审核</w:t>
      </w:r>
      <w:bookmarkEnd w:id="9"/>
    </w:p>
    <w:p>
      <w:pPr>
        <w:rPr>
          <w:rFonts w:hint="eastAsia"/>
        </w:rPr>
      </w:pPr>
      <w:r>
        <w:rPr>
          <w:rFonts w:hint="eastAsia"/>
          <w:lang w:val="en-US" w:eastAsia="zh-CN"/>
        </w:rPr>
        <w:t>纵向项目的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计算本次提扣信息</w:t>
      </w:r>
      <w:r>
        <w:rPr>
          <w:rFonts w:hint="eastAsia"/>
          <w:lang w:eastAsia="zh-CN"/>
        </w:rPr>
        <w:t>”</w:t>
      </w:r>
      <w:r>
        <w:rPr>
          <w:rFonts w:hint="eastAsia"/>
          <w:lang w:val="en-US" w:eastAsia="zh-CN"/>
        </w:rPr>
        <w:t>按钮是在修改了本次间接费合计后使用的，修改了间接费要点击按钮，提扣明细才会重新计算。</w:t>
      </w:r>
    </w:p>
    <w:p>
      <w:r>
        <w:drawing>
          <wp:inline distT="0" distB="0" distL="114300" distR="114300">
            <wp:extent cx="5262880" cy="3023235"/>
            <wp:effectExtent l="0" t="0" r="13970" b="571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02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/>
        <w:keepLines/>
        <w:pageBreakBefore w:val="0"/>
        <w:widowControl w:val="0"/>
        <w:numPr>
          <w:ilvl w:val="2"/>
          <w:numId w:val="2"/>
        </w:numPr>
        <w:tabs>
          <w:tab w:val="left" w:pos="1275"/>
          <w:tab w:val="clear" w:pos="720"/>
          <w:tab w:val="clear" w:pos="169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13" w:lineRule="auto"/>
        <w:ind w:left="578" w:hanging="578"/>
        <w:textAlignment w:val="auto"/>
        <w:outlineLvl w:val="2"/>
        <w:rPr>
          <w:rFonts w:hint="eastAsia"/>
          <w:sz w:val="24"/>
          <w:szCs w:val="24"/>
        </w:rPr>
      </w:pPr>
      <w:bookmarkStart w:id="10" w:name="_Toc29564"/>
      <w:r>
        <w:rPr>
          <w:rFonts w:hint="eastAsia" w:ascii="宋体" w:hAnsi="宋体"/>
          <w:sz w:val="24"/>
          <w:szCs w:val="24"/>
          <w:lang w:val="en-US" w:eastAsia="zh-CN"/>
        </w:rPr>
        <w:t>横向项目</w:t>
      </w:r>
      <w:r>
        <w:rPr>
          <w:rFonts w:hint="eastAsia" w:ascii="宋体" w:hAnsi="宋体" w:eastAsia="宋体"/>
          <w:sz w:val="24"/>
          <w:szCs w:val="24"/>
        </w:rPr>
        <w:t>经费认领审核</w:t>
      </w:r>
      <w:bookmarkEnd w:id="10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横向项目的经费认领，经费主管可以修改本次提扣明细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如果有设备卡的，提扣明细会有“管理费（设备卡）”默认提扣金额为0，经费主管可以修改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150" cy="1915160"/>
            <wp:effectExtent l="9525" t="9525" r="22225" b="18415"/>
            <wp:docPr id="1" name="图片 1" descr="1691482420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9148242099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91516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4"/>
        <w:keepNext/>
        <w:keepLines/>
        <w:pageBreakBefore w:val="0"/>
        <w:widowControl w:val="0"/>
        <w:numPr>
          <w:ilvl w:val="2"/>
          <w:numId w:val="2"/>
        </w:numPr>
        <w:tabs>
          <w:tab w:val="left" w:pos="1275"/>
          <w:tab w:val="clear" w:pos="720"/>
          <w:tab w:val="clear" w:pos="169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413" w:lineRule="auto"/>
        <w:ind w:left="578" w:hanging="578"/>
        <w:textAlignment w:val="auto"/>
        <w:outlineLvl w:val="2"/>
        <w:rPr>
          <w:rFonts w:hint="eastAsia"/>
          <w:sz w:val="24"/>
          <w:szCs w:val="24"/>
        </w:rPr>
      </w:pPr>
      <w:bookmarkStart w:id="11" w:name="_Toc5777"/>
      <w:r>
        <w:rPr>
          <w:rFonts w:hint="eastAsia" w:ascii="宋体" w:hAnsi="宋体"/>
          <w:sz w:val="24"/>
          <w:szCs w:val="24"/>
          <w:lang w:val="en-US" w:eastAsia="zh-CN"/>
        </w:rPr>
        <w:t>专利转化</w:t>
      </w:r>
      <w:r>
        <w:rPr>
          <w:rFonts w:hint="eastAsia" w:ascii="宋体" w:hAnsi="宋体" w:eastAsia="宋体"/>
          <w:sz w:val="24"/>
          <w:szCs w:val="24"/>
        </w:rPr>
        <w:t>经费认领审核</w:t>
      </w:r>
      <w:bookmarkEnd w:id="11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专利转化项目，专利管理人要填写学校支付专利费用、计算提扣明细</w:t>
      </w:r>
    </w:p>
    <w:p>
      <w:r>
        <w:drawing>
          <wp:inline distT="0" distB="0" distL="114300" distR="114300">
            <wp:extent cx="5273040" cy="2694305"/>
            <wp:effectExtent l="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rcRect t="10611" b="23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9430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59070" cy="2695575"/>
            <wp:effectExtent l="0" t="0" r="0" b="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rcRect t="1117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69557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填写完成本核算明细后，获取提扣明细，操作完成后提交下一步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4310" cy="2658745"/>
            <wp:effectExtent l="9525" t="9525" r="12065" b="1778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5874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2"/>
        </w:numPr>
        <w:spacing w:after="0" w:line="413" w:lineRule="auto"/>
        <w:ind w:left="578" w:hanging="578"/>
        <w:rPr>
          <w:rFonts w:ascii="宋体" w:hAnsi="宋体" w:eastAsia="宋体"/>
          <w:sz w:val="28"/>
          <w:szCs w:val="28"/>
        </w:rPr>
      </w:pPr>
      <w:bookmarkStart w:id="12" w:name="_Toc19524"/>
      <w:r>
        <w:rPr>
          <w:rFonts w:hint="eastAsia" w:ascii="宋体" w:hAnsi="宋体" w:eastAsia="宋体"/>
          <w:sz w:val="28"/>
          <w:szCs w:val="28"/>
        </w:rPr>
        <w:t>经费查询</w:t>
      </w:r>
      <w:bookmarkEnd w:id="12"/>
    </w:p>
    <w:p>
      <w:r>
        <w:rPr>
          <w:rFonts w:hint="eastAsia"/>
        </w:rPr>
        <w:t>经费查询，</w:t>
      </w:r>
      <w:r>
        <w:rPr>
          <w:rFonts w:hint="eastAsia"/>
          <w:lang w:val="en-US" w:eastAsia="zh-CN"/>
        </w:rPr>
        <w:t>如到账要作废就</w:t>
      </w:r>
      <w:r>
        <w:rPr>
          <w:rFonts w:hint="eastAsia"/>
        </w:rPr>
        <w:t>在列表上点击要作废的到账即可，</w:t>
      </w:r>
      <w:r>
        <w:rPr>
          <w:rFonts w:hint="eastAsia"/>
          <w:lang w:val="en-US" w:eastAsia="zh-CN"/>
        </w:rPr>
        <w:t>作废后的</w:t>
      </w:r>
      <w:r>
        <w:rPr>
          <w:rFonts w:hint="eastAsia"/>
        </w:rPr>
        <w:t>到账详情上不再有作废历史到账的功能。</w:t>
      </w:r>
    </w:p>
    <w:p>
      <w:r>
        <w:drawing>
          <wp:inline distT="0" distB="0" distL="114300" distR="114300">
            <wp:extent cx="5265420" cy="3315335"/>
            <wp:effectExtent l="0" t="0" r="11430" b="1841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31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pBdr>
        <w:bottom w:val="single" w:color="auto" w:sz="6" w:space="8"/>
      </w:pBdr>
      <w:jc w:val="right"/>
    </w:pPr>
    <w:r>
      <w:rPr>
        <w:rFonts w:hint="eastAsia" w:ascii="Verdana" w:hAnsi="Verdana"/>
        <w:b/>
        <w:sz w:val="20"/>
      </w:rPr>
      <w:t>操作手册</w:t>
    </w:r>
    <w:r>
      <w:rPr>
        <w:rFonts w:ascii="Verdana" w:hAnsi="Verdana"/>
        <w:b/>
        <w:sz w:val="20"/>
      </w:rPr>
      <w:t xml:space="preserve">                                                           </w:t>
    </w:r>
    <w:r>
      <w:drawing>
        <wp:inline distT="0" distB="0" distL="0" distR="0">
          <wp:extent cx="981075" cy="251460"/>
          <wp:effectExtent l="0" t="0" r="0" b="0"/>
          <wp:docPr id="6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81566" cy="25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7"/>
    <w:multiLevelType w:val="multilevel"/>
    <w:tmpl w:val="00000007"/>
    <w:lvl w:ilvl="0" w:tentative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</w:lvl>
    <w:lvl w:ilvl="1" w:tentative="0">
      <w:start w:val="1"/>
      <w:numFmt w:val="decimal"/>
      <w:lvlText w:val="%1.%2"/>
      <w:lvlJc w:val="left"/>
      <w:pPr>
        <w:tabs>
          <w:tab w:val="left" w:pos="576"/>
        </w:tabs>
        <w:ind w:left="576" w:hanging="576"/>
      </w:pPr>
    </w:lvl>
    <w:lvl w:ilvl="2" w:tentative="0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</w:lvl>
    <w:lvl w:ilvl="3" w:tentative="0">
      <w:start w:val="1"/>
      <w:numFmt w:val="decimal"/>
      <w:lvlText w:val="%1.%2.%3.%4"/>
      <w:lvlJc w:val="left"/>
      <w:pPr>
        <w:tabs>
          <w:tab w:val="left" w:pos="864"/>
        </w:tabs>
        <w:ind w:left="864" w:hanging="864"/>
      </w:pPr>
    </w:lvl>
    <w:lvl w:ilvl="4" w:tentative="0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</w:lvl>
    <w:lvl w:ilvl="5" w:tentative="0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</w:lvl>
  </w:abstractNum>
  <w:abstractNum w:abstractNumId="1">
    <w:nsid w:val="0000000D"/>
    <w:multiLevelType w:val="multilevel"/>
    <w:tmpl w:val="0000000D"/>
    <w:lvl w:ilvl="0" w:tentative="0">
      <w:start w:val="1"/>
      <w:numFmt w:val="bullet"/>
      <w:pStyle w:val="2"/>
      <w:lvlText w:val=""/>
      <w:lvlJc w:val="left"/>
      <w:pPr>
        <w:tabs>
          <w:tab w:val="left" w:pos="855"/>
        </w:tabs>
        <w:ind w:left="855" w:hanging="420"/>
      </w:pPr>
      <w:rPr>
        <w:rFonts w:hint="default" w:ascii="Wingdings" w:hAnsi="Wingdings"/>
      </w:rPr>
    </w:lvl>
    <w:lvl w:ilvl="1" w:tentative="0">
      <w:start w:val="1"/>
      <w:numFmt w:val="bullet"/>
      <w:pStyle w:val="3"/>
      <w:lvlText w:val=""/>
      <w:lvlJc w:val="left"/>
      <w:pPr>
        <w:tabs>
          <w:tab w:val="left" w:pos="1275"/>
        </w:tabs>
        <w:ind w:left="1275" w:hanging="420"/>
      </w:pPr>
      <w:rPr>
        <w:rFonts w:hint="default" w:ascii="Wingdings" w:hAnsi="Wingdings"/>
      </w:rPr>
    </w:lvl>
    <w:lvl w:ilvl="2" w:tentative="0">
      <w:start w:val="1"/>
      <w:numFmt w:val="bullet"/>
      <w:pStyle w:val="4"/>
      <w:lvlText w:val=""/>
      <w:lvlJc w:val="left"/>
      <w:pPr>
        <w:tabs>
          <w:tab w:val="left" w:pos="1695"/>
        </w:tabs>
        <w:ind w:left="1695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2115"/>
        </w:tabs>
        <w:ind w:left="2115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535"/>
        </w:tabs>
        <w:ind w:left="2535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955"/>
        </w:tabs>
        <w:ind w:left="2955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375"/>
        </w:tabs>
        <w:ind w:left="3375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795"/>
        </w:tabs>
        <w:ind w:left="3795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215"/>
        </w:tabs>
        <w:ind w:left="4215" w:hanging="420"/>
      </w:pPr>
      <w:rPr>
        <w:rFonts w:hint="default" w:ascii="Wingdings" w:hAnsi="Wingdings"/>
      </w:rPr>
    </w:lvl>
  </w:abstractNum>
  <w:abstractNum w:abstractNumId="2">
    <w:nsid w:val="0EF311FA"/>
    <w:multiLevelType w:val="singleLevel"/>
    <w:tmpl w:val="0EF311FA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324E914D"/>
    <w:multiLevelType w:val="singleLevel"/>
    <w:tmpl w:val="324E914D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GM4OGI4YTkzOTdkZmE2ZDFkZjk3YzY5NmM4NzRkZTYifQ=="/>
  </w:docVars>
  <w:rsids>
    <w:rsidRoot w:val="002C45BB"/>
    <w:rsid w:val="000167A6"/>
    <w:rsid w:val="000168D7"/>
    <w:rsid w:val="0003153C"/>
    <w:rsid w:val="00053D03"/>
    <w:rsid w:val="00056736"/>
    <w:rsid w:val="0006323B"/>
    <w:rsid w:val="00073AD8"/>
    <w:rsid w:val="00077570"/>
    <w:rsid w:val="00087BC0"/>
    <w:rsid w:val="000907AC"/>
    <w:rsid w:val="00091C8B"/>
    <w:rsid w:val="000A1DA4"/>
    <w:rsid w:val="000B2B98"/>
    <w:rsid w:val="000B60D4"/>
    <w:rsid w:val="000C25A1"/>
    <w:rsid w:val="000D30A0"/>
    <w:rsid w:val="000D41AA"/>
    <w:rsid w:val="000E0296"/>
    <w:rsid w:val="000F2141"/>
    <w:rsid w:val="0010080E"/>
    <w:rsid w:val="0012133D"/>
    <w:rsid w:val="00131190"/>
    <w:rsid w:val="00132F88"/>
    <w:rsid w:val="001520F0"/>
    <w:rsid w:val="00157640"/>
    <w:rsid w:val="00186686"/>
    <w:rsid w:val="00190FC7"/>
    <w:rsid w:val="001B2402"/>
    <w:rsid w:val="001B2F9F"/>
    <w:rsid w:val="001B3149"/>
    <w:rsid w:val="001B55C7"/>
    <w:rsid w:val="001C79A2"/>
    <w:rsid w:val="001D27C2"/>
    <w:rsid w:val="001D2D6C"/>
    <w:rsid w:val="001E4E5E"/>
    <w:rsid w:val="001E576E"/>
    <w:rsid w:val="001F5BB6"/>
    <w:rsid w:val="00211E7A"/>
    <w:rsid w:val="00220858"/>
    <w:rsid w:val="00221312"/>
    <w:rsid w:val="00224D02"/>
    <w:rsid w:val="002273C2"/>
    <w:rsid w:val="0025430D"/>
    <w:rsid w:val="002603AF"/>
    <w:rsid w:val="00267EAF"/>
    <w:rsid w:val="002773A9"/>
    <w:rsid w:val="002806B1"/>
    <w:rsid w:val="00285854"/>
    <w:rsid w:val="00297F65"/>
    <w:rsid w:val="002A6993"/>
    <w:rsid w:val="002A6EF8"/>
    <w:rsid w:val="002B67F3"/>
    <w:rsid w:val="002C45BB"/>
    <w:rsid w:val="002D2E51"/>
    <w:rsid w:val="002F76FC"/>
    <w:rsid w:val="00305714"/>
    <w:rsid w:val="003057C9"/>
    <w:rsid w:val="00316CA5"/>
    <w:rsid w:val="00331484"/>
    <w:rsid w:val="003342FA"/>
    <w:rsid w:val="00357798"/>
    <w:rsid w:val="003631D2"/>
    <w:rsid w:val="00372C33"/>
    <w:rsid w:val="00380AEE"/>
    <w:rsid w:val="003812FA"/>
    <w:rsid w:val="00392B69"/>
    <w:rsid w:val="003A3C91"/>
    <w:rsid w:val="003A5FB7"/>
    <w:rsid w:val="003B1FFE"/>
    <w:rsid w:val="003B20A2"/>
    <w:rsid w:val="003B7B39"/>
    <w:rsid w:val="003C1B6A"/>
    <w:rsid w:val="003D073C"/>
    <w:rsid w:val="003D257D"/>
    <w:rsid w:val="003D25D3"/>
    <w:rsid w:val="003D3736"/>
    <w:rsid w:val="003D7B42"/>
    <w:rsid w:val="003E733D"/>
    <w:rsid w:val="00401412"/>
    <w:rsid w:val="00401AD9"/>
    <w:rsid w:val="00411907"/>
    <w:rsid w:val="00414E29"/>
    <w:rsid w:val="00417D05"/>
    <w:rsid w:val="004251C9"/>
    <w:rsid w:val="004275DC"/>
    <w:rsid w:val="00432282"/>
    <w:rsid w:val="004403FA"/>
    <w:rsid w:val="00446A1B"/>
    <w:rsid w:val="00446E89"/>
    <w:rsid w:val="0045386B"/>
    <w:rsid w:val="00460D67"/>
    <w:rsid w:val="00463541"/>
    <w:rsid w:val="0046426F"/>
    <w:rsid w:val="004856CD"/>
    <w:rsid w:val="00496871"/>
    <w:rsid w:val="004C1C07"/>
    <w:rsid w:val="004F3F77"/>
    <w:rsid w:val="00511F27"/>
    <w:rsid w:val="005326C4"/>
    <w:rsid w:val="00544DFB"/>
    <w:rsid w:val="005559DC"/>
    <w:rsid w:val="005623CE"/>
    <w:rsid w:val="00564B6D"/>
    <w:rsid w:val="00570AA1"/>
    <w:rsid w:val="005755FA"/>
    <w:rsid w:val="005C19A8"/>
    <w:rsid w:val="005C51A0"/>
    <w:rsid w:val="005E1588"/>
    <w:rsid w:val="005F77D9"/>
    <w:rsid w:val="00616DF0"/>
    <w:rsid w:val="006478AF"/>
    <w:rsid w:val="00683765"/>
    <w:rsid w:val="006A2613"/>
    <w:rsid w:val="006A3D3F"/>
    <w:rsid w:val="006B5E2B"/>
    <w:rsid w:val="006C737B"/>
    <w:rsid w:val="006F06E0"/>
    <w:rsid w:val="006F6544"/>
    <w:rsid w:val="0072133E"/>
    <w:rsid w:val="00722931"/>
    <w:rsid w:val="0073139D"/>
    <w:rsid w:val="0073386F"/>
    <w:rsid w:val="007435B1"/>
    <w:rsid w:val="00746C52"/>
    <w:rsid w:val="007547CA"/>
    <w:rsid w:val="00756FE7"/>
    <w:rsid w:val="00760880"/>
    <w:rsid w:val="007650ED"/>
    <w:rsid w:val="00766D3C"/>
    <w:rsid w:val="00767550"/>
    <w:rsid w:val="00771422"/>
    <w:rsid w:val="00790079"/>
    <w:rsid w:val="0079660D"/>
    <w:rsid w:val="00797C31"/>
    <w:rsid w:val="007B15A1"/>
    <w:rsid w:val="007C076F"/>
    <w:rsid w:val="007D116B"/>
    <w:rsid w:val="007E43CD"/>
    <w:rsid w:val="00802887"/>
    <w:rsid w:val="008130FC"/>
    <w:rsid w:val="00816A65"/>
    <w:rsid w:val="00816EBF"/>
    <w:rsid w:val="00823C32"/>
    <w:rsid w:val="00826157"/>
    <w:rsid w:val="008268AB"/>
    <w:rsid w:val="00837873"/>
    <w:rsid w:val="008435FB"/>
    <w:rsid w:val="00850475"/>
    <w:rsid w:val="00851663"/>
    <w:rsid w:val="008545E9"/>
    <w:rsid w:val="0085464E"/>
    <w:rsid w:val="0086737E"/>
    <w:rsid w:val="00886E87"/>
    <w:rsid w:val="008915FD"/>
    <w:rsid w:val="008A1BD3"/>
    <w:rsid w:val="008C1714"/>
    <w:rsid w:val="008C4878"/>
    <w:rsid w:val="008C5419"/>
    <w:rsid w:val="008C5631"/>
    <w:rsid w:val="008F2490"/>
    <w:rsid w:val="008F642F"/>
    <w:rsid w:val="009106FC"/>
    <w:rsid w:val="0091631F"/>
    <w:rsid w:val="00922A2E"/>
    <w:rsid w:val="00942AB2"/>
    <w:rsid w:val="00947BF5"/>
    <w:rsid w:val="0096726E"/>
    <w:rsid w:val="009732C3"/>
    <w:rsid w:val="00973D9A"/>
    <w:rsid w:val="009838E9"/>
    <w:rsid w:val="00990106"/>
    <w:rsid w:val="009A4C58"/>
    <w:rsid w:val="009D7D3A"/>
    <w:rsid w:val="009E3EDF"/>
    <w:rsid w:val="00A06CC2"/>
    <w:rsid w:val="00A06E23"/>
    <w:rsid w:val="00A24749"/>
    <w:rsid w:val="00A338C9"/>
    <w:rsid w:val="00A469F2"/>
    <w:rsid w:val="00A53FD2"/>
    <w:rsid w:val="00A56508"/>
    <w:rsid w:val="00A6335C"/>
    <w:rsid w:val="00A64B95"/>
    <w:rsid w:val="00A736B0"/>
    <w:rsid w:val="00A80E82"/>
    <w:rsid w:val="00A87BF4"/>
    <w:rsid w:val="00AC5769"/>
    <w:rsid w:val="00AD14EB"/>
    <w:rsid w:val="00AE78FD"/>
    <w:rsid w:val="00B014F4"/>
    <w:rsid w:val="00B04A4D"/>
    <w:rsid w:val="00B07BAB"/>
    <w:rsid w:val="00B16B02"/>
    <w:rsid w:val="00B324C7"/>
    <w:rsid w:val="00B3534A"/>
    <w:rsid w:val="00B35F58"/>
    <w:rsid w:val="00B55EBE"/>
    <w:rsid w:val="00B6020A"/>
    <w:rsid w:val="00B614A4"/>
    <w:rsid w:val="00B658B0"/>
    <w:rsid w:val="00B83098"/>
    <w:rsid w:val="00B83122"/>
    <w:rsid w:val="00B85135"/>
    <w:rsid w:val="00B866D3"/>
    <w:rsid w:val="00B87516"/>
    <w:rsid w:val="00B96957"/>
    <w:rsid w:val="00BC11ED"/>
    <w:rsid w:val="00BC4240"/>
    <w:rsid w:val="00BD78FF"/>
    <w:rsid w:val="00BE11F1"/>
    <w:rsid w:val="00BE3E8C"/>
    <w:rsid w:val="00C13696"/>
    <w:rsid w:val="00C14758"/>
    <w:rsid w:val="00C32CD4"/>
    <w:rsid w:val="00C351C0"/>
    <w:rsid w:val="00C35C51"/>
    <w:rsid w:val="00C3658F"/>
    <w:rsid w:val="00C42EAB"/>
    <w:rsid w:val="00C514D2"/>
    <w:rsid w:val="00C549AE"/>
    <w:rsid w:val="00C54F70"/>
    <w:rsid w:val="00C57077"/>
    <w:rsid w:val="00C668A5"/>
    <w:rsid w:val="00C760C7"/>
    <w:rsid w:val="00C86384"/>
    <w:rsid w:val="00C92020"/>
    <w:rsid w:val="00CA49A7"/>
    <w:rsid w:val="00CB0AA1"/>
    <w:rsid w:val="00CB2E2C"/>
    <w:rsid w:val="00CB731D"/>
    <w:rsid w:val="00CC05DB"/>
    <w:rsid w:val="00CC3CCD"/>
    <w:rsid w:val="00CC4890"/>
    <w:rsid w:val="00CC5360"/>
    <w:rsid w:val="00CC58AC"/>
    <w:rsid w:val="00CD1DDB"/>
    <w:rsid w:val="00CD6DA5"/>
    <w:rsid w:val="00CE215C"/>
    <w:rsid w:val="00CE5A62"/>
    <w:rsid w:val="00CF0CB3"/>
    <w:rsid w:val="00D04C04"/>
    <w:rsid w:val="00D1491F"/>
    <w:rsid w:val="00D153BA"/>
    <w:rsid w:val="00D16EB8"/>
    <w:rsid w:val="00D26AAA"/>
    <w:rsid w:val="00D449E7"/>
    <w:rsid w:val="00D45986"/>
    <w:rsid w:val="00D47A93"/>
    <w:rsid w:val="00D66CE4"/>
    <w:rsid w:val="00D8139F"/>
    <w:rsid w:val="00D94D53"/>
    <w:rsid w:val="00DA6B5D"/>
    <w:rsid w:val="00DB2778"/>
    <w:rsid w:val="00DB307C"/>
    <w:rsid w:val="00DB30D4"/>
    <w:rsid w:val="00DC6CAB"/>
    <w:rsid w:val="00DD09ED"/>
    <w:rsid w:val="00DD6710"/>
    <w:rsid w:val="00DE5009"/>
    <w:rsid w:val="00DF3F05"/>
    <w:rsid w:val="00DF4CBE"/>
    <w:rsid w:val="00E05287"/>
    <w:rsid w:val="00E05446"/>
    <w:rsid w:val="00E05644"/>
    <w:rsid w:val="00E15C90"/>
    <w:rsid w:val="00E3370C"/>
    <w:rsid w:val="00E339B4"/>
    <w:rsid w:val="00E505FC"/>
    <w:rsid w:val="00E519A0"/>
    <w:rsid w:val="00E53518"/>
    <w:rsid w:val="00E53C17"/>
    <w:rsid w:val="00E54231"/>
    <w:rsid w:val="00E6607B"/>
    <w:rsid w:val="00E662DF"/>
    <w:rsid w:val="00E90143"/>
    <w:rsid w:val="00E90BC1"/>
    <w:rsid w:val="00EA30DC"/>
    <w:rsid w:val="00EA4FE8"/>
    <w:rsid w:val="00EA606E"/>
    <w:rsid w:val="00EA6C01"/>
    <w:rsid w:val="00ED108A"/>
    <w:rsid w:val="00ED6711"/>
    <w:rsid w:val="00EE0F73"/>
    <w:rsid w:val="00EE4641"/>
    <w:rsid w:val="00F04D74"/>
    <w:rsid w:val="00F051E2"/>
    <w:rsid w:val="00F07476"/>
    <w:rsid w:val="00F102C2"/>
    <w:rsid w:val="00F50FD7"/>
    <w:rsid w:val="00F6029A"/>
    <w:rsid w:val="00F60480"/>
    <w:rsid w:val="00F62B03"/>
    <w:rsid w:val="00F71A7D"/>
    <w:rsid w:val="00F76606"/>
    <w:rsid w:val="00F768A0"/>
    <w:rsid w:val="00F80E48"/>
    <w:rsid w:val="00FA2D1D"/>
    <w:rsid w:val="00FA36E4"/>
    <w:rsid w:val="00FB4E03"/>
    <w:rsid w:val="00FB6157"/>
    <w:rsid w:val="00FC6A9F"/>
    <w:rsid w:val="00FC7C49"/>
    <w:rsid w:val="00FD4E2A"/>
    <w:rsid w:val="03AD0519"/>
    <w:rsid w:val="0874698D"/>
    <w:rsid w:val="092747FD"/>
    <w:rsid w:val="0933337E"/>
    <w:rsid w:val="0D2A3ABE"/>
    <w:rsid w:val="0DB066B9"/>
    <w:rsid w:val="0E0662D9"/>
    <w:rsid w:val="142602DA"/>
    <w:rsid w:val="145A4E34"/>
    <w:rsid w:val="168A53F0"/>
    <w:rsid w:val="18B0756E"/>
    <w:rsid w:val="19721A44"/>
    <w:rsid w:val="1A4A07A9"/>
    <w:rsid w:val="1AC54084"/>
    <w:rsid w:val="26F954C3"/>
    <w:rsid w:val="2DCB19AA"/>
    <w:rsid w:val="2E146CA8"/>
    <w:rsid w:val="2E234B41"/>
    <w:rsid w:val="3054449C"/>
    <w:rsid w:val="30911237"/>
    <w:rsid w:val="32E77BD8"/>
    <w:rsid w:val="378C2357"/>
    <w:rsid w:val="399D6C51"/>
    <w:rsid w:val="464B69A4"/>
    <w:rsid w:val="48F006D9"/>
    <w:rsid w:val="50301E9E"/>
    <w:rsid w:val="548C602C"/>
    <w:rsid w:val="55244848"/>
    <w:rsid w:val="558561A8"/>
    <w:rsid w:val="5B076BBE"/>
    <w:rsid w:val="5B60127E"/>
    <w:rsid w:val="62436329"/>
    <w:rsid w:val="6370770C"/>
    <w:rsid w:val="638135AD"/>
    <w:rsid w:val="656B7252"/>
    <w:rsid w:val="66067077"/>
    <w:rsid w:val="6908207B"/>
    <w:rsid w:val="767D5E56"/>
    <w:rsid w:val="7927654D"/>
    <w:rsid w:val="7A5D0A9B"/>
    <w:rsid w:val="7CB023B6"/>
    <w:rsid w:val="7EA37B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0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0"/>
    <w:pPr>
      <w:keepNext/>
      <w:keepLines/>
      <w:numPr>
        <w:ilvl w:val="0"/>
        <w:numId w:val="1"/>
      </w:numPr>
      <w:tabs>
        <w:tab w:val="left" w:pos="432"/>
      </w:tabs>
      <w:spacing w:before="340" w:after="330" w:line="576" w:lineRule="auto"/>
      <w:outlineLvl w:val="0"/>
    </w:pPr>
    <w:rPr>
      <w:b/>
      <w:bCs/>
      <w:kern w:val="44"/>
      <w:sz w:val="36"/>
      <w:szCs w:val="44"/>
    </w:rPr>
  </w:style>
  <w:style w:type="paragraph" w:styleId="3">
    <w:name w:val="heading 2"/>
    <w:basedOn w:val="1"/>
    <w:next w:val="1"/>
    <w:link w:val="17"/>
    <w:unhideWhenUsed/>
    <w:qFormat/>
    <w:uiPriority w:val="0"/>
    <w:pPr>
      <w:keepNext/>
      <w:keepLines/>
      <w:numPr>
        <w:ilvl w:val="1"/>
        <w:numId w:val="1"/>
      </w:numPr>
      <w:tabs>
        <w:tab w:val="left" w:pos="432"/>
        <w:tab w:val="left" w:pos="576"/>
      </w:tabs>
      <w:spacing w:before="260" w:after="260" w:line="412" w:lineRule="auto"/>
      <w:outlineLvl w:val="1"/>
    </w:pPr>
    <w:rPr>
      <w:rFonts w:ascii="Arial" w:hAnsi="Arial" w:eastAsia="黑体"/>
      <w:b/>
      <w:bCs/>
      <w:sz w:val="32"/>
      <w:szCs w:val="32"/>
    </w:rPr>
  </w:style>
  <w:style w:type="paragraph" w:styleId="4">
    <w:name w:val="heading 3"/>
    <w:basedOn w:val="1"/>
    <w:next w:val="1"/>
    <w:link w:val="18"/>
    <w:unhideWhenUsed/>
    <w:qFormat/>
    <w:uiPriority w:val="0"/>
    <w:pPr>
      <w:keepNext/>
      <w:keepLines/>
      <w:numPr>
        <w:ilvl w:val="2"/>
        <w:numId w:val="1"/>
      </w:numPr>
      <w:tabs>
        <w:tab w:val="left" w:pos="432"/>
        <w:tab w:val="left" w:pos="720"/>
      </w:tabs>
      <w:spacing w:before="260" w:after="260" w:line="412" w:lineRule="auto"/>
      <w:outlineLvl w:val="2"/>
    </w:pPr>
    <w:rPr>
      <w:b/>
      <w:bCs/>
      <w:sz w:val="32"/>
      <w:szCs w:val="32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unhideWhenUsed/>
    <w:qFormat/>
    <w:uiPriority w:val="39"/>
    <w:pPr>
      <w:ind w:left="840" w:leftChars="400"/>
    </w:pPr>
  </w:style>
  <w:style w:type="paragraph" w:styleId="6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oc 1"/>
    <w:basedOn w:val="1"/>
    <w:next w:val="1"/>
    <w:unhideWhenUsed/>
    <w:qFormat/>
    <w:uiPriority w:val="39"/>
  </w:style>
  <w:style w:type="paragraph" w:styleId="9">
    <w:name w:val="toc 2"/>
    <w:basedOn w:val="1"/>
    <w:next w:val="1"/>
    <w:unhideWhenUsed/>
    <w:qFormat/>
    <w:uiPriority w:val="39"/>
    <w:pPr>
      <w:ind w:left="420" w:leftChars="200"/>
    </w:pPr>
  </w:style>
  <w:style w:type="table" w:styleId="11">
    <w:name w:val="Table Grid"/>
    <w:basedOn w:val="10"/>
    <w:qFormat/>
    <w:uiPriority w:val="39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Hyperlink"/>
    <w:unhideWhenUsed/>
    <w:qFormat/>
    <w:uiPriority w:val="99"/>
    <w:rPr>
      <w:color w:val="0000FF"/>
      <w:u w:val="single"/>
    </w:rPr>
  </w:style>
  <w:style w:type="character" w:customStyle="1" w:styleId="14">
    <w:name w:val="页眉 字符"/>
    <w:basedOn w:val="12"/>
    <w:link w:val="7"/>
    <w:qFormat/>
    <w:uiPriority w:val="99"/>
    <w:rPr>
      <w:sz w:val="18"/>
      <w:szCs w:val="18"/>
    </w:rPr>
  </w:style>
  <w:style w:type="character" w:customStyle="1" w:styleId="15">
    <w:name w:val="页脚 字符"/>
    <w:basedOn w:val="12"/>
    <w:link w:val="6"/>
    <w:qFormat/>
    <w:uiPriority w:val="99"/>
    <w:rPr>
      <w:sz w:val="18"/>
      <w:szCs w:val="18"/>
    </w:rPr>
  </w:style>
  <w:style w:type="character" w:customStyle="1" w:styleId="16">
    <w:name w:val="标题 1 字符"/>
    <w:basedOn w:val="12"/>
    <w:link w:val="2"/>
    <w:qFormat/>
    <w:uiPriority w:val="0"/>
    <w:rPr>
      <w:rFonts w:ascii="Times New Roman" w:hAnsi="Times New Roman" w:eastAsia="宋体" w:cs="Times New Roman"/>
      <w:b/>
      <w:bCs/>
      <w:kern w:val="44"/>
      <w:sz w:val="36"/>
      <w:szCs w:val="44"/>
    </w:rPr>
  </w:style>
  <w:style w:type="character" w:customStyle="1" w:styleId="17">
    <w:name w:val="标题 2 字符"/>
    <w:basedOn w:val="12"/>
    <w:link w:val="3"/>
    <w:qFormat/>
    <w:uiPriority w:val="0"/>
    <w:rPr>
      <w:rFonts w:ascii="Arial" w:hAnsi="Arial" w:eastAsia="黑体" w:cs="Times New Roman"/>
      <w:b/>
      <w:bCs/>
      <w:sz w:val="32"/>
      <w:szCs w:val="32"/>
    </w:rPr>
  </w:style>
  <w:style w:type="character" w:customStyle="1" w:styleId="18">
    <w:name w:val="标题 3 字符"/>
    <w:basedOn w:val="12"/>
    <w:link w:val="4"/>
    <w:qFormat/>
    <w:uiPriority w:val="0"/>
    <w:rPr>
      <w:rFonts w:ascii="Times New Roman" w:hAnsi="Times New Roman" w:eastAsia="宋体" w:cs="Times New Roman"/>
      <w:b/>
      <w:bCs/>
      <w:sz w:val="32"/>
      <w:szCs w:val="32"/>
    </w:rPr>
  </w:style>
  <w:style w:type="paragraph" w:customStyle="1" w:styleId="19">
    <w:name w:val="TOC 标题1"/>
    <w:basedOn w:val="2"/>
    <w:next w:val="1"/>
    <w:qFormat/>
    <w:uiPriority w:val="0"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character" w:customStyle="1" w:styleId="21">
    <w:name w:val="Unresolved Mention"/>
    <w:basedOn w:val="12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numbering" Target="numbering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5E431C-DF17-4080-BE70-74C42507B75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732</Words>
  <Characters>775</Characters>
  <Lines>11</Lines>
  <Paragraphs>3</Paragraphs>
  <TotalTime>0</TotalTime>
  <ScaleCrop>false</ScaleCrop>
  <LinksUpToDate>false</LinksUpToDate>
  <CharactersWithSpaces>816</CharactersWithSpaces>
  <Application>WPS Office_12.1.0.15398_F1E327BC-269C-435d-A152-05C5408002CA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2019-12-31T02:58:00Z</dcterms:created>
  <dc:creator>gao haixia</dc:creator>
  <cp:lastModifiedBy>GaoHX</cp:lastModifiedBy>
  <dcterms:modified xsi:type="dcterms:W3CDTF">2023-09-22T00:59:28Z</dcterms:modified>
  <cp:revision>289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mondata">
    <vt:lpwstr>eyJoZGlkIjoiNGM4OGI4YTkzOTdkZmE2ZDFkZjk3YzY5NmM4NzRkZTYifQ==</vt:lpwstr>
  </property>
  <property fmtid="{D5CDD505-2E9C-101B-9397-08002B2CF9AE}" pid="3" name="KSOProductBuildVer">
    <vt:lpwstr>2052-12.1.0.15398</vt:lpwstr>
  </property>
  <property fmtid="{D5CDD505-2E9C-101B-9397-08002B2CF9AE}" pid="4" name="ICV">
    <vt:lpwstr>06DF7ACDA77A4C7386D71402FC2E3C51</vt:lpwstr>
  </property>
</Properties>
</file>