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rPr>
          <w:b/>
          <w:sz w:val="36"/>
          <w:szCs w:val="36"/>
        </w:rPr>
      </w:pPr>
    </w:p>
    <w:p>
      <w:pPr>
        <w:spacing w:line="480" w:lineRule="auto"/>
        <w:rPr>
          <w:b/>
          <w:sz w:val="36"/>
          <w:szCs w:val="36"/>
        </w:rPr>
      </w:pPr>
    </w:p>
    <w:p>
      <w:pPr>
        <w:spacing w:line="480" w:lineRule="auto"/>
        <w:rPr>
          <w:b/>
          <w:sz w:val="36"/>
          <w:szCs w:val="36"/>
        </w:rPr>
      </w:pPr>
    </w:p>
    <w:p>
      <w:pPr>
        <w:spacing w:line="480" w:lineRule="auto"/>
        <w:rPr>
          <w:b/>
          <w:sz w:val="36"/>
          <w:szCs w:val="36"/>
        </w:rPr>
      </w:pPr>
    </w:p>
    <w:p>
      <w:pPr>
        <w:jc w:val="center"/>
        <w:rPr>
          <w:b/>
          <w:sz w:val="52"/>
          <w:szCs w:val="52"/>
        </w:rPr>
      </w:pPr>
      <w:r>
        <w:rPr>
          <w:rFonts w:hint="eastAsia"/>
          <w:b/>
          <w:sz w:val="52"/>
          <w:szCs w:val="52"/>
        </w:rPr>
        <w:t>同济大学</w:t>
      </w:r>
    </w:p>
    <w:p>
      <w:pPr>
        <w:spacing w:line="360" w:lineRule="auto"/>
        <w:jc w:val="center"/>
        <w:rPr>
          <w:b/>
          <w:sz w:val="52"/>
          <w:szCs w:val="52"/>
        </w:rPr>
      </w:pPr>
      <w:r>
        <w:rPr>
          <w:rFonts w:hint="eastAsia"/>
          <w:b/>
          <w:sz w:val="52"/>
          <w:szCs w:val="52"/>
          <w:lang w:val="en-US" w:eastAsia="zh-CN"/>
        </w:rPr>
        <w:t>科研</w:t>
      </w:r>
      <w:r>
        <w:rPr>
          <w:rFonts w:hint="eastAsia"/>
          <w:b/>
          <w:sz w:val="52"/>
          <w:szCs w:val="52"/>
        </w:rPr>
        <w:t>项目管理系统</w:t>
      </w:r>
    </w:p>
    <w:p>
      <w:pPr>
        <w:spacing w:line="360" w:lineRule="auto"/>
        <w:jc w:val="center"/>
        <w:rPr>
          <w:b/>
          <w:sz w:val="52"/>
          <w:szCs w:val="52"/>
        </w:rPr>
      </w:pPr>
    </w:p>
    <w:p>
      <w:pPr>
        <w:spacing w:line="360" w:lineRule="auto"/>
        <w:jc w:val="center"/>
        <w:rPr>
          <w:b/>
          <w:sz w:val="28"/>
          <w:szCs w:val="28"/>
        </w:rPr>
      </w:pPr>
      <w:r>
        <w:rPr>
          <w:rFonts w:hint="eastAsia"/>
          <w:b/>
          <w:sz w:val="28"/>
          <w:szCs w:val="28"/>
        </w:rPr>
        <w:t>操作手册</w:t>
      </w:r>
    </w:p>
    <w:p>
      <w:pPr>
        <w:spacing w:line="360" w:lineRule="auto"/>
        <w:jc w:val="center"/>
        <w:rPr>
          <w:b/>
          <w:sz w:val="28"/>
          <w:szCs w:val="28"/>
        </w:rPr>
      </w:pPr>
      <w:r>
        <w:rPr>
          <w:rFonts w:hint="eastAsia"/>
          <w:b/>
          <w:sz w:val="28"/>
          <w:szCs w:val="28"/>
        </w:rPr>
        <w:t>（财务人员使用）</w:t>
      </w: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r>
        <w:rPr>
          <w:rFonts w:hint="eastAsia"/>
          <w:b/>
          <w:sz w:val="28"/>
          <w:szCs w:val="28"/>
        </w:rPr>
        <w:t>V</w:t>
      </w:r>
      <w:r>
        <w:rPr>
          <w:b/>
          <w:sz w:val="28"/>
          <w:szCs w:val="28"/>
        </w:rPr>
        <w:t>er:</w:t>
      </w:r>
      <w:r>
        <w:rPr>
          <w:rFonts w:hint="eastAsia"/>
          <w:b/>
          <w:sz w:val="28"/>
          <w:szCs w:val="28"/>
          <w:lang w:val="en-US" w:eastAsia="zh-CN"/>
        </w:rPr>
        <w:t>2</w:t>
      </w:r>
      <w:r>
        <w:rPr>
          <w:b/>
          <w:sz w:val="28"/>
          <w:szCs w:val="28"/>
        </w:rPr>
        <w:t>.0</w:t>
      </w:r>
    </w:p>
    <w:p>
      <w:pPr>
        <w:spacing w:line="360" w:lineRule="auto"/>
        <w:jc w:val="center"/>
        <w:rPr>
          <w:b/>
          <w:sz w:val="28"/>
          <w:szCs w:val="28"/>
        </w:rPr>
      </w:pPr>
      <w:r>
        <w:rPr>
          <w:rFonts w:hint="eastAsia"/>
          <w:b/>
          <w:sz w:val="28"/>
          <w:szCs w:val="28"/>
        </w:rPr>
        <w:t>2</w:t>
      </w:r>
      <w:r>
        <w:rPr>
          <w:b/>
          <w:sz w:val="28"/>
          <w:szCs w:val="28"/>
        </w:rPr>
        <w:t>02</w:t>
      </w:r>
      <w:r>
        <w:rPr>
          <w:rFonts w:hint="eastAsia"/>
          <w:b/>
          <w:sz w:val="28"/>
          <w:szCs w:val="28"/>
          <w:lang w:val="en-US" w:eastAsia="zh-CN"/>
        </w:rPr>
        <w:t>3</w:t>
      </w:r>
      <w:r>
        <w:rPr>
          <w:b/>
          <w:sz w:val="28"/>
          <w:szCs w:val="28"/>
        </w:rPr>
        <w:t>/0</w:t>
      </w:r>
      <w:r>
        <w:rPr>
          <w:rFonts w:hint="eastAsia"/>
          <w:b/>
          <w:sz w:val="28"/>
          <w:szCs w:val="28"/>
          <w:lang w:val="en-US" w:eastAsia="zh-CN"/>
        </w:rPr>
        <w:t>8</w:t>
      </w:r>
      <w:r>
        <w:rPr>
          <w:b/>
          <w:sz w:val="28"/>
          <w:szCs w:val="28"/>
        </w:rPr>
        <w:t>/10</w:t>
      </w: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rPr>
          <w:b/>
          <w:sz w:val="28"/>
          <w:szCs w:val="28"/>
        </w:rPr>
      </w:pPr>
      <w:r>
        <w:rPr>
          <w:b/>
          <w:sz w:val="28"/>
          <w:szCs w:val="28"/>
        </w:rPr>
        <w:br w:type="page"/>
      </w:r>
      <w:r>
        <w:rPr>
          <w:rFonts w:hint="eastAsia"/>
          <w:b/>
          <w:sz w:val="28"/>
          <w:szCs w:val="28"/>
        </w:rPr>
        <w:t>文档修订记录</w:t>
      </w:r>
    </w:p>
    <w:tbl>
      <w:tblPr>
        <w:tblStyle w:val="1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709"/>
        <w:gridCol w:w="3827"/>
        <w:gridCol w:w="1560"/>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0CECE" w:themeFill="background2" w:themeFillShade="E6"/>
            <w:vAlign w:val="center"/>
          </w:tcPr>
          <w:p>
            <w:pPr>
              <w:jc w:val="center"/>
              <w:rPr>
                <w:b/>
                <w:kern w:val="0"/>
                <w:sz w:val="20"/>
                <w:szCs w:val="24"/>
              </w:rPr>
            </w:pPr>
            <w:r>
              <w:rPr>
                <w:rFonts w:hint="eastAsia"/>
                <w:b/>
                <w:kern w:val="0"/>
                <w:sz w:val="20"/>
                <w:szCs w:val="24"/>
              </w:rPr>
              <w:t>版本编号或者</w:t>
            </w:r>
          </w:p>
          <w:p>
            <w:pPr>
              <w:jc w:val="center"/>
              <w:rPr>
                <w:b/>
                <w:kern w:val="0"/>
                <w:sz w:val="20"/>
                <w:szCs w:val="24"/>
              </w:rPr>
            </w:pPr>
            <w:r>
              <w:rPr>
                <w:rFonts w:hint="eastAsia"/>
                <w:b/>
                <w:kern w:val="0"/>
                <w:sz w:val="20"/>
                <w:szCs w:val="24"/>
              </w:rPr>
              <w:t>更改记录编号</w:t>
            </w:r>
            <w:r>
              <w:rPr>
                <w:b/>
                <w:kern w:val="0"/>
                <w:sz w:val="20"/>
                <w:szCs w:val="24"/>
              </w:rPr>
              <w:t> </w:t>
            </w:r>
          </w:p>
        </w:tc>
        <w:tc>
          <w:tcPr>
            <w:tcW w:w="709" w:type="dxa"/>
            <w:shd w:val="clear" w:color="auto" w:fill="D0CECE" w:themeFill="background2" w:themeFillShade="E6"/>
            <w:vAlign w:val="center"/>
          </w:tcPr>
          <w:p>
            <w:pPr>
              <w:rPr>
                <w:b/>
                <w:kern w:val="0"/>
                <w:sz w:val="20"/>
                <w:szCs w:val="24"/>
              </w:rPr>
            </w:pPr>
            <w:r>
              <w:rPr>
                <w:rFonts w:hint="eastAsia"/>
                <w:b/>
                <w:kern w:val="0"/>
                <w:sz w:val="20"/>
                <w:szCs w:val="24"/>
              </w:rPr>
              <w:t>变化</w:t>
            </w:r>
          </w:p>
          <w:p>
            <w:pPr>
              <w:rPr>
                <w:b/>
                <w:kern w:val="0"/>
                <w:sz w:val="20"/>
                <w:szCs w:val="24"/>
              </w:rPr>
            </w:pPr>
            <w:r>
              <w:rPr>
                <w:rFonts w:hint="eastAsia"/>
                <w:b/>
                <w:kern w:val="0"/>
                <w:sz w:val="20"/>
                <w:szCs w:val="24"/>
              </w:rPr>
              <w:t>状态</w:t>
            </w:r>
          </w:p>
        </w:tc>
        <w:tc>
          <w:tcPr>
            <w:tcW w:w="3827" w:type="dxa"/>
            <w:shd w:val="clear" w:color="auto" w:fill="D0CECE" w:themeFill="background2" w:themeFillShade="E6"/>
            <w:vAlign w:val="center"/>
          </w:tcPr>
          <w:p>
            <w:pPr>
              <w:jc w:val="center"/>
              <w:rPr>
                <w:b/>
                <w:kern w:val="0"/>
                <w:sz w:val="20"/>
                <w:szCs w:val="24"/>
              </w:rPr>
            </w:pPr>
            <w:r>
              <w:rPr>
                <w:rFonts w:hint="eastAsia"/>
                <w:b/>
                <w:kern w:val="0"/>
                <w:sz w:val="20"/>
                <w:szCs w:val="24"/>
              </w:rPr>
              <w:t>简要说明</w:t>
            </w:r>
          </w:p>
          <w:p>
            <w:pPr>
              <w:jc w:val="center"/>
              <w:rPr>
                <w:b/>
                <w:kern w:val="0"/>
                <w:sz w:val="20"/>
                <w:szCs w:val="24"/>
              </w:rPr>
            </w:pPr>
            <w:r>
              <w:rPr>
                <w:rFonts w:hint="eastAsia"/>
                <w:b/>
                <w:kern w:val="0"/>
                <w:sz w:val="20"/>
                <w:szCs w:val="24"/>
              </w:rPr>
              <w:t>（变更内容和变更范围）</w:t>
            </w:r>
            <w:r>
              <w:rPr>
                <w:b/>
                <w:kern w:val="0"/>
                <w:sz w:val="20"/>
                <w:szCs w:val="24"/>
              </w:rPr>
              <w:t> </w:t>
            </w:r>
          </w:p>
        </w:tc>
        <w:tc>
          <w:tcPr>
            <w:tcW w:w="1560" w:type="dxa"/>
            <w:shd w:val="clear" w:color="auto" w:fill="D0CECE" w:themeFill="background2" w:themeFillShade="E6"/>
            <w:vAlign w:val="center"/>
          </w:tcPr>
          <w:p>
            <w:pPr>
              <w:jc w:val="center"/>
              <w:rPr>
                <w:b/>
                <w:kern w:val="0"/>
                <w:sz w:val="20"/>
                <w:szCs w:val="24"/>
              </w:rPr>
            </w:pPr>
            <w:r>
              <w:rPr>
                <w:rFonts w:hint="eastAsia"/>
                <w:b/>
                <w:kern w:val="0"/>
                <w:sz w:val="20"/>
                <w:szCs w:val="24"/>
              </w:rPr>
              <w:t>日期</w:t>
            </w:r>
          </w:p>
        </w:tc>
        <w:tc>
          <w:tcPr>
            <w:tcW w:w="1275" w:type="dxa"/>
            <w:shd w:val="clear" w:color="auto" w:fill="D0CECE" w:themeFill="background2" w:themeFillShade="E6"/>
            <w:vAlign w:val="center"/>
          </w:tcPr>
          <w:p>
            <w:pPr>
              <w:jc w:val="center"/>
              <w:rPr>
                <w:b/>
                <w:kern w:val="0"/>
                <w:sz w:val="20"/>
                <w:szCs w:val="24"/>
              </w:rPr>
            </w:pPr>
            <w:r>
              <w:rPr>
                <w:rFonts w:hint="eastAsia"/>
                <w:b/>
                <w:kern w:val="0"/>
                <w:sz w:val="20"/>
                <w:szCs w:val="24"/>
              </w:rPr>
              <w:t>修订人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r>
              <w:rPr>
                <w:rFonts w:hint="eastAsia"/>
                <w:b/>
                <w:kern w:val="0"/>
                <w:sz w:val="20"/>
                <w:szCs w:val="24"/>
              </w:rPr>
              <w:t>V</w:t>
            </w:r>
            <w:r>
              <w:rPr>
                <w:b/>
                <w:kern w:val="0"/>
                <w:sz w:val="20"/>
                <w:szCs w:val="24"/>
              </w:rPr>
              <w:t>1.0</w:t>
            </w:r>
          </w:p>
        </w:tc>
        <w:tc>
          <w:tcPr>
            <w:tcW w:w="709" w:type="dxa"/>
          </w:tcPr>
          <w:p>
            <w:pPr>
              <w:rPr>
                <w:b/>
                <w:kern w:val="0"/>
                <w:sz w:val="20"/>
                <w:szCs w:val="24"/>
              </w:rPr>
            </w:pPr>
            <w:r>
              <w:rPr>
                <w:rFonts w:hint="eastAsia"/>
                <w:b/>
                <w:kern w:val="0"/>
                <w:sz w:val="20"/>
                <w:szCs w:val="24"/>
              </w:rPr>
              <w:t>新建</w:t>
            </w: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rFonts w:hint="default" w:eastAsia="宋体"/>
                <w:b/>
                <w:kern w:val="0"/>
                <w:sz w:val="20"/>
                <w:szCs w:val="24"/>
                <w:lang w:val="en-US" w:eastAsia="zh-CN"/>
              </w:rPr>
            </w:pPr>
            <w:r>
              <w:rPr>
                <w:rFonts w:hint="eastAsia"/>
                <w:b/>
                <w:kern w:val="0"/>
                <w:sz w:val="20"/>
                <w:szCs w:val="24"/>
                <w:lang w:val="en-US" w:eastAsia="zh-CN"/>
              </w:rPr>
              <w:t>V2.0</w:t>
            </w:r>
          </w:p>
        </w:tc>
        <w:tc>
          <w:tcPr>
            <w:tcW w:w="709" w:type="dxa"/>
          </w:tcPr>
          <w:p>
            <w:pPr>
              <w:rPr>
                <w:rFonts w:hint="default" w:eastAsia="宋体"/>
                <w:b/>
                <w:kern w:val="0"/>
                <w:sz w:val="20"/>
                <w:szCs w:val="24"/>
                <w:lang w:val="en-US" w:eastAsia="zh-CN"/>
              </w:rPr>
            </w:pPr>
            <w:r>
              <w:rPr>
                <w:rFonts w:hint="eastAsia"/>
                <w:b/>
                <w:kern w:val="0"/>
                <w:sz w:val="20"/>
                <w:szCs w:val="24"/>
                <w:lang w:val="en-US" w:eastAsia="zh-CN"/>
              </w:rPr>
              <w:t>变更</w:t>
            </w:r>
          </w:p>
        </w:tc>
        <w:tc>
          <w:tcPr>
            <w:tcW w:w="3827" w:type="dxa"/>
          </w:tcPr>
          <w:p>
            <w:pPr>
              <w:rPr>
                <w:rFonts w:hint="default" w:eastAsia="宋体"/>
                <w:b/>
                <w:kern w:val="0"/>
                <w:sz w:val="20"/>
                <w:szCs w:val="24"/>
                <w:lang w:val="en-US" w:eastAsia="zh-CN"/>
              </w:rPr>
            </w:pPr>
            <w:r>
              <w:rPr>
                <w:rFonts w:hint="eastAsia"/>
                <w:b/>
                <w:kern w:val="0"/>
                <w:sz w:val="20"/>
                <w:szCs w:val="24"/>
                <w:lang w:val="en-US" w:eastAsia="zh-CN"/>
              </w:rPr>
              <w:t>新增关于横向项目的操作方法</w:t>
            </w: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bl>
    <w:p/>
    <w:p>
      <w:r>
        <w:br w:type="page"/>
      </w:r>
    </w:p>
    <w:p>
      <w:pPr>
        <w:pStyle w:val="19"/>
        <w:jc w:val="center"/>
      </w:pPr>
      <w:r>
        <w:rPr>
          <w:rFonts w:hint="eastAsia"/>
          <w:lang w:val="zh-CN"/>
        </w:rPr>
        <w:t>目录</w:t>
      </w:r>
    </w:p>
    <w:p>
      <w:pPr>
        <w:pStyle w:val="8"/>
        <w:tabs>
          <w:tab w:val="right" w:leader="dot" w:pos="8306"/>
        </w:tabs>
      </w:pPr>
      <w:r>
        <w:fldChar w:fldCharType="begin"/>
      </w:r>
      <w:r>
        <w:instrText xml:space="preserve"> TOC \o "1-3" \h \z \u </w:instrText>
      </w:r>
      <w:r>
        <w:fldChar w:fldCharType="separate"/>
      </w:r>
      <w:r>
        <w:fldChar w:fldCharType="begin"/>
      </w:r>
      <w:r>
        <w:instrText xml:space="preserve"> HYPERLINK \l _Toc29122 </w:instrText>
      </w:r>
      <w:r>
        <w:fldChar w:fldCharType="separate"/>
      </w:r>
      <w:r>
        <w:t xml:space="preserve">1 </w:t>
      </w:r>
      <w:r>
        <w:rPr>
          <w:rFonts w:hint="eastAsia"/>
        </w:rPr>
        <w:t>引言</w:t>
      </w:r>
      <w:r>
        <w:tab/>
      </w:r>
      <w:r>
        <w:fldChar w:fldCharType="begin"/>
      </w:r>
      <w:r>
        <w:instrText xml:space="preserve"> PAGEREF _Toc29122 \h </w:instrText>
      </w:r>
      <w:r>
        <w:fldChar w:fldCharType="separate"/>
      </w:r>
      <w:r>
        <w:t>4</w:t>
      </w:r>
      <w:r>
        <w:fldChar w:fldCharType="end"/>
      </w:r>
      <w:r>
        <w:fldChar w:fldCharType="end"/>
      </w:r>
    </w:p>
    <w:p>
      <w:pPr>
        <w:pStyle w:val="9"/>
        <w:tabs>
          <w:tab w:val="right" w:leader="dot" w:pos="8306"/>
        </w:tabs>
      </w:pPr>
      <w:r>
        <w:rPr>
          <w:bCs/>
          <w:lang w:val="zh-CN"/>
        </w:rPr>
        <w:fldChar w:fldCharType="begin"/>
      </w:r>
      <w:r>
        <w:rPr>
          <w:bCs/>
          <w:lang w:val="zh-CN"/>
        </w:rPr>
        <w:instrText xml:space="preserve"> HYPERLINK \l _Toc22716 </w:instrText>
      </w:r>
      <w:r>
        <w:rPr>
          <w:bCs/>
          <w:lang w:val="zh-CN"/>
        </w:rPr>
        <w:fldChar w:fldCharType="separate"/>
      </w:r>
      <w:r>
        <w:rPr>
          <w:rFonts w:ascii="宋体" w:hAnsi="宋体" w:eastAsia="宋体"/>
        </w:rPr>
        <w:t xml:space="preserve">1.1 </w:t>
      </w:r>
      <w:r>
        <w:rPr>
          <w:rFonts w:hint="eastAsia" w:ascii="宋体" w:hAnsi="宋体" w:eastAsia="宋体"/>
        </w:rPr>
        <w:t>编写目的</w:t>
      </w:r>
      <w:r>
        <w:tab/>
      </w:r>
      <w:r>
        <w:fldChar w:fldCharType="begin"/>
      </w:r>
      <w:r>
        <w:instrText xml:space="preserve"> PAGEREF _Toc22716 \h </w:instrText>
      </w:r>
      <w:r>
        <w:fldChar w:fldCharType="separate"/>
      </w:r>
      <w:r>
        <w:t>4</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_Toc13391 </w:instrText>
      </w:r>
      <w:r>
        <w:rPr>
          <w:bCs/>
          <w:lang w:val="zh-CN"/>
        </w:rPr>
        <w:fldChar w:fldCharType="separate"/>
      </w:r>
      <w:r>
        <w:rPr>
          <w:rFonts w:ascii="宋体" w:hAnsi="宋体" w:eastAsia="宋体"/>
        </w:rPr>
        <w:t xml:space="preserve">1.2 </w:t>
      </w:r>
      <w:r>
        <w:rPr>
          <w:rFonts w:hint="eastAsia" w:ascii="宋体" w:hAnsi="宋体" w:eastAsia="宋体"/>
        </w:rPr>
        <w:t>适用范围</w:t>
      </w:r>
      <w:r>
        <w:tab/>
      </w:r>
      <w:r>
        <w:fldChar w:fldCharType="begin"/>
      </w:r>
      <w:r>
        <w:instrText xml:space="preserve"> PAGEREF _Toc13391 \h </w:instrText>
      </w:r>
      <w:r>
        <w:fldChar w:fldCharType="separate"/>
      </w:r>
      <w:r>
        <w:t>4</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_Toc13373 </w:instrText>
      </w:r>
      <w:r>
        <w:rPr>
          <w:bCs/>
          <w:lang w:val="zh-CN"/>
        </w:rPr>
        <w:fldChar w:fldCharType="separate"/>
      </w:r>
      <w:r>
        <w:t xml:space="preserve">2 </w:t>
      </w:r>
      <w:r>
        <w:rPr>
          <w:rFonts w:hint="eastAsia"/>
        </w:rPr>
        <w:t>系统概述</w:t>
      </w:r>
      <w:r>
        <w:tab/>
      </w:r>
      <w:r>
        <w:fldChar w:fldCharType="begin"/>
      </w:r>
      <w:r>
        <w:instrText xml:space="preserve"> PAGEREF _Toc13373 \h </w:instrText>
      </w:r>
      <w:r>
        <w:fldChar w:fldCharType="separate"/>
      </w:r>
      <w:r>
        <w:t>4</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_Toc28658 </w:instrText>
      </w:r>
      <w:r>
        <w:rPr>
          <w:bCs/>
          <w:lang w:val="zh-CN"/>
        </w:rPr>
        <w:fldChar w:fldCharType="separate"/>
      </w:r>
      <w:r>
        <w:rPr>
          <w:rFonts w:ascii="宋体" w:hAnsi="宋体" w:eastAsia="宋体"/>
          <w:szCs w:val="28"/>
        </w:rPr>
        <w:t xml:space="preserve">2.1 </w:t>
      </w:r>
      <w:r>
        <w:rPr>
          <w:rFonts w:hint="eastAsia" w:ascii="宋体" w:hAnsi="宋体" w:eastAsia="宋体"/>
          <w:szCs w:val="28"/>
        </w:rPr>
        <w:t>系统简介</w:t>
      </w:r>
      <w:r>
        <w:tab/>
      </w:r>
      <w:r>
        <w:fldChar w:fldCharType="begin"/>
      </w:r>
      <w:r>
        <w:instrText xml:space="preserve"> PAGEREF _Toc28658 \h </w:instrText>
      </w:r>
      <w:r>
        <w:fldChar w:fldCharType="separate"/>
      </w:r>
      <w:r>
        <w:t>4</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_Toc28682 </w:instrText>
      </w:r>
      <w:r>
        <w:rPr>
          <w:bCs/>
          <w:lang w:val="zh-CN"/>
        </w:rPr>
        <w:fldChar w:fldCharType="separate"/>
      </w:r>
      <w:r>
        <w:t xml:space="preserve">3 </w:t>
      </w:r>
      <w:r>
        <w:rPr>
          <w:rFonts w:hint="eastAsia"/>
        </w:rPr>
        <w:t>登录方式</w:t>
      </w:r>
      <w:r>
        <w:tab/>
      </w:r>
      <w:r>
        <w:fldChar w:fldCharType="begin"/>
      </w:r>
      <w:r>
        <w:instrText xml:space="preserve"> PAGEREF _Toc28682 \h </w:instrText>
      </w:r>
      <w:r>
        <w:fldChar w:fldCharType="separate"/>
      </w:r>
      <w:r>
        <w:t>4</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_Toc25869 </w:instrText>
      </w:r>
      <w:r>
        <w:rPr>
          <w:bCs/>
          <w:lang w:val="zh-CN"/>
        </w:rPr>
        <w:fldChar w:fldCharType="separate"/>
      </w:r>
      <w:r>
        <w:rPr>
          <w:rFonts w:ascii="宋体" w:hAnsi="宋体" w:eastAsia="宋体"/>
          <w:szCs w:val="28"/>
        </w:rPr>
        <w:t xml:space="preserve">4.1 </w:t>
      </w:r>
      <w:r>
        <w:rPr>
          <w:rFonts w:hint="eastAsia" w:ascii="宋体" w:hAnsi="宋体" w:eastAsia="宋体"/>
          <w:szCs w:val="28"/>
          <w:lang w:val="en-US" w:eastAsia="zh-CN"/>
        </w:rPr>
        <w:t>科研</w:t>
      </w:r>
      <w:r>
        <w:rPr>
          <w:rFonts w:hint="eastAsia" w:ascii="宋体" w:hAnsi="宋体" w:eastAsia="宋体"/>
          <w:szCs w:val="28"/>
        </w:rPr>
        <w:t>预算项</w:t>
      </w:r>
      <w:r>
        <w:rPr>
          <w:rFonts w:hint="eastAsia" w:ascii="宋体" w:hAnsi="宋体" w:eastAsia="宋体"/>
          <w:szCs w:val="28"/>
          <w:lang w:val="en-US" w:eastAsia="zh-CN"/>
        </w:rPr>
        <w:t>和科研预算模板</w:t>
      </w:r>
      <w:r>
        <w:tab/>
      </w:r>
      <w:r>
        <w:fldChar w:fldCharType="begin"/>
      </w:r>
      <w:r>
        <w:instrText xml:space="preserve"> PAGEREF _Toc25869 \h </w:instrText>
      </w:r>
      <w:r>
        <w:fldChar w:fldCharType="separate"/>
      </w:r>
      <w:r>
        <w:t>6</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_Toc14674 </w:instrText>
      </w:r>
      <w:r>
        <w:rPr>
          <w:bCs/>
          <w:lang w:val="zh-CN"/>
        </w:rPr>
        <w:fldChar w:fldCharType="separate"/>
      </w:r>
      <w:r>
        <w:rPr>
          <w:rFonts w:ascii="宋体" w:hAnsi="宋体" w:eastAsia="宋体"/>
          <w:szCs w:val="28"/>
        </w:rPr>
        <w:t xml:space="preserve">4.2 </w:t>
      </w:r>
      <w:r>
        <w:rPr>
          <w:rFonts w:hint="eastAsia" w:ascii="宋体" w:hAnsi="宋体" w:eastAsia="宋体"/>
          <w:szCs w:val="28"/>
        </w:rPr>
        <w:t>财务预算</w:t>
      </w:r>
      <w:r>
        <w:rPr>
          <w:rFonts w:hint="eastAsia" w:ascii="宋体" w:hAnsi="宋体" w:eastAsia="宋体"/>
          <w:szCs w:val="28"/>
          <w:lang w:val="en-US" w:eastAsia="zh-CN"/>
        </w:rPr>
        <w:t>项和财务预算</w:t>
      </w:r>
      <w:r>
        <w:rPr>
          <w:rFonts w:hint="eastAsia" w:ascii="宋体" w:hAnsi="宋体" w:eastAsia="宋体"/>
          <w:szCs w:val="28"/>
        </w:rPr>
        <w:t>模板</w:t>
      </w:r>
      <w:r>
        <w:tab/>
      </w:r>
      <w:r>
        <w:fldChar w:fldCharType="begin"/>
      </w:r>
      <w:r>
        <w:instrText xml:space="preserve"> PAGEREF _Toc14674 \h </w:instrText>
      </w:r>
      <w:r>
        <w:fldChar w:fldCharType="separate"/>
      </w:r>
      <w:r>
        <w:t>6</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_Toc10503 </w:instrText>
      </w:r>
      <w:r>
        <w:rPr>
          <w:bCs/>
          <w:lang w:val="zh-CN"/>
        </w:rPr>
        <w:fldChar w:fldCharType="separate"/>
      </w:r>
      <w:r>
        <w:rPr>
          <w:rFonts w:ascii="宋体" w:hAnsi="宋体" w:eastAsia="宋体"/>
          <w:szCs w:val="28"/>
        </w:rPr>
        <w:t xml:space="preserve">4.3 </w:t>
      </w:r>
      <w:r>
        <w:rPr>
          <w:rFonts w:hint="eastAsia" w:ascii="宋体" w:hAnsi="宋体" w:eastAsia="宋体"/>
          <w:szCs w:val="28"/>
        </w:rPr>
        <w:t>项目与</w:t>
      </w:r>
      <w:r>
        <w:rPr>
          <w:rFonts w:hint="eastAsia" w:ascii="宋体" w:hAnsi="宋体" w:eastAsia="宋体"/>
          <w:szCs w:val="28"/>
          <w:lang w:val="en-US" w:eastAsia="zh-CN"/>
        </w:rPr>
        <w:t>科研</w:t>
      </w:r>
      <w:r>
        <w:rPr>
          <w:rFonts w:hint="eastAsia" w:ascii="宋体" w:hAnsi="宋体" w:eastAsia="宋体"/>
          <w:szCs w:val="28"/>
        </w:rPr>
        <w:t>预算模板对应关系</w:t>
      </w:r>
      <w:r>
        <w:tab/>
      </w:r>
      <w:r>
        <w:fldChar w:fldCharType="begin"/>
      </w:r>
      <w:r>
        <w:instrText xml:space="preserve"> PAGEREF _Toc10503 \h </w:instrText>
      </w:r>
      <w:r>
        <w:fldChar w:fldCharType="separate"/>
      </w:r>
      <w:r>
        <w:t>6</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_Toc16652 </w:instrText>
      </w:r>
      <w:r>
        <w:rPr>
          <w:bCs/>
          <w:lang w:val="zh-CN"/>
        </w:rPr>
        <w:fldChar w:fldCharType="separate"/>
      </w:r>
      <w:r>
        <w:rPr>
          <w:rFonts w:ascii="宋体" w:hAnsi="宋体" w:eastAsia="宋体"/>
          <w:szCs w:val="28"/>
        </w:rPr>
        <w:t xml:space="preserve">4.4 </w:t>
      </w:r>
      <w:r>
        <w:rPr>
          <w:rFonts w:hint="eastAsia" w:ascii="宋体" w:hAnsi="宋体" w:eastAsia="宋体"/>
          <w:szCs w:val="28"/>
          <w:lang w:val="en-US" w:eastAsia="zh-CN"/>
        </w:rPr>
        <w:t>经费卡号与</w:t>
      </w:r>
      <w:r>
        <w:rPr>
          <w:rFonts w:hint="eastAsia" w:ascii="宋体" w:hAnsi="宋体" w:eastAsia="宋体"/>
          <w:szCs w:val="28"/>
        </w:rPr>
        <w:t>预算对应关系</w:t>
      </w:r>
      <w:r>
        <w:tab/>
      </w:r>
      <w:r>
        <w:fldChar w:fldCharType="begin"/>
      </w:r>
      <w:r>
        <w:instrText xml:space="preserve"> PAGEREF _Toc16652 \h </w:instrText>
      </w:r>
      <w:r>
        <w:fldChar w:fldCharType="separate"/>
      </w:r>
      <w:r>
        <w:t>6</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_Toc32125 </w:instrText>
      </w:r>
      <w:r>
        <w:rPr>
          <w:bCs/>
          <w:lang w:val="zh-CN"/>
        </w:rPr>
        <w:fldChar w:fldCharType="separate"/>
      </w:r>
      <w:r>
        <w:rPr>
          <w:rFonts w:ascii="宋体" w:hAnsi="宋体" w:eastAsia="宋体"/>
          <w:szCs w:val="28"/>
        </w:rPr>
        <w:t xml:space="preserve">4.5 </w:t>
      </w:r>
      <w:r>
        <w:rPr>
          <w:rFonts w:hint="eastAsia" w:ascii="宋体" w:hAnsi="宋体" w:eastAsia="宋体"/>
          <w:szCs w:val="28"/>
          <w:lang w:val="en-US" w:eastAsia="zh-CN"/>
        </w:rPr>
        <w:t>科研财务</w:t>
      </w:r>
      <w:r>
        <w:rPr>
          <w:rFonts w:hint="eastAsia" w:ascii="宋体" w:hAnsi="宋体" w:eastAsia="宋体"/>
          <w:szCs w:val="28"/>
        </w:rPr>
        <w:t>预算对应关系</w:t>
      </w:r>
      <w:r>
        <w:tab/>
      </w:r>
      <w:r>
        <w:fldChar w:fldCharType="begin"/>
      </w:r>
      <w:r>
        <w:instrText xml:space="preserve"> PAGEREF _Toc32125 \h </w:instrText>
      </w:r>
      <w:r>
        <w:fldChar w:fldCharType="separate"/>
      </w:r>
      <w:r>
        <w:t>7</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_Toc19678 </w:instrText>
      </w:r>
      <w:r>
        <w:rPr>
          <w:bCs/>
          <w:lang w:val="zh-CN"/>
        </w:rPr>
        <w:fldChar w:fldCharType="separate"/>
      </w:r>
      <w:r>
        <w:t xml:space="preserve">5 </w:t>
      </w:r>
      <w:r>
        <w:rPr>
          <w:rFonts w:hint="eastAsia"/>
        </w:rPr>
        <w:t>审批</w:t>
      </w:r>
      <w:r>
        <w:rPr>
          <w:rFonts w:hint="eastAsia"/>
          <w:lang w:val="en-US" w:eastAsia="zh-CN"/>
        </w:rPr>
        <w:t>的</w:t>
      </w:r>
      <w:r>
        <w:rPr>
          <w:rFonts w:hint="eastAsia"/>
        </w:rPr>
        <w:t>操作方法</w:t>
      </w:r>
      <w:r>
        <w:tab/>
      </w:r>
      <w:r>
        <w:fldChar w:fldCharType="begin"/>
      </w:r>
      <w:r>
        <w:instrText xml:space="preserve"> PAGEREF _Toc19678 \h </w:instrText>
      </w:r>
      <w:r>
        <w:fldChar w:fldCharType="separate"/>
      </w:r>
      <w:r>
        <w:t>8</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_Toc23057 </w:instrText>
      </w:r>
      <w:r>
        <w:rPr>
          <w:bCs/>
          <w:lang w:val="zh-CN"/>
        </w:rPr>
        <w:fldChar w:fldCharType="separate"/>
      </w:r>
      <w:r>
        <w:t xml:space="preserve">6 </w:t>
      </w:r>
      <w:r>
        <w:rPr>
          <w:rFonts w:hint="eastAsia"/>
          <w:lang w:val="en-US" w:eastAsia="zh-CN"/>
        </w:rPr>
        <w:t>纵向</w:t>
      </w:r>
      <w:r>
        <w:rPr>
          <w:rFonts w:hint="eastAsia"/>
        </w:rPr>
        <w:t>项目立项</w:t>
      </w:r>
      <w:r>
        <w:tab/>
      </w:r>
      <w:r>
        <w:fldChar w:fldCharType="begin"/>
      </w:r>
      <w:r>
        <w:instrText xml:space="preserve"> PAGEREF _Toc23057 \h </w:instrText>
      </w:r>
      <w:r>
        <w:fldChar w:fldCharType="separate"/>
      </w:r>
      <w:r>
        <w:t>9</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_Toc25639 </w:instrText>
      </w:r>
      <w:r>
        <w:rPr>
          <w:bCs/>
          <w:lang w:val="zh-CN"/>
        </w:rPr>
        <w:fldChar w:fldCharType="separate"/>
      </w:r>
      <w:r>
        <w:rPr>
          <w:rFonts w:ascii="宋体" w:hAnsi="宋体" w:eastAsia="宋体"/>
          <w:szCs w:val="28"/>
        </w:rPr>
        <w:t xml:space="preserve">6.1 </w:t>
      </w:r>
      <w:r>
        <w:rPr>
          <w:rFonts w:hint="eastAsia" w:ascii="宋体" w:hAnsi="宋体" w:eastAsia="宋体"/>
          <w:szCs w:val="28"/>
          <w:lang w:val="en-US" w:eastAsia="zh-CN"/>
        </w:rPr>
        <w:t>纵向</w:t>
      </w:r>
      <w:r>
        <w:rPr>
          <w:rFonts w:hint="eastAsia" w:ascii="宋体" w:hAnsi="宋体" w:eastAsia="宋体"/>
          <w:szCs w:val="28"/>
        </w:rPr>
        <w:t>项目立项审核</w:t>
      </w:r>
      <w:r>
        <w:tab/>
      </w:r>
      <w:r>
        <w:fldChar w:fldCharType="begin"/>
      </w:r>
      <w:r>
        <w:instrText xml:space="preserve"> PAGEREF _Toc25639 \h </w:instrText>
      </w:r>
      <w:r>
        <w:fldChar w:fldCharType="separate"/>
      </w:r>
      <w:r>
        <w:t>9</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_Toc1475 </w:instrText>
      </w:r>
      <w:r>
        <w:rPr>
          <w:bCs/>
          <w:lang w:val="zh-CN"/>
        </w:rPr>
        <w:fldChar w:fldCharType="separate"/>
      </w:r>
      <w:r>
        <w:t xml:space="preserve">7 </w:t>
      </w:r>
      <w:r>
        <w:rPr>
          <w:rFonts w:hint="eastAsia"/>
          <w:lang w:val="en-US" w:eastAsia="zh-CN"/>
        </w:rPr>
        <w:t>纵向</w:t>
      </w:r>
      <w:r>
        <w:rPr>
          <w:rFonts w:hint="eastAsia"/>
        </w:rPr>
        <w:t>项目变更</w:t>
      </w:r>
      <w:r>
        <w:tab/>
      </w:r>
      <w:r>
        <w:fldChar w:fldCharType="begin"/>
      </w:r>
      <w:r>
        <w:instrText xml:space="preserve"> PAGEREF _Toc1475 \h </w:instrText>
      </w:r>
      <w:r>
        <w:fldChar w:fldCharType="separate"/>
      </w:r>
      <w:r>
        <w:t>10</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_Toc8837 </w:instrText>
      </w:r>
      <w:r>
        <w:rPr>
          <w:bCs/>
          <w:lang w:val="zh-CN"/>
        </w:rPr>
        <w:fldChar w:fldCharType="separate"/>
      </w:r>
      <w:r>
        <w:rPr>
          <w:rFonts w:ascii="宋体" w:hAnsi="宋体" w:eastAsia="宋体"/>
          <w:szCs w:val="28"/>
        </w:rPr>
        <w:t xml:space="preserve">7.1 </w:t>
      </w:r>
      <w:r>
        <w:rPr>
          <w:rFonts w:hint="eastAsia" w:ascii="宋体" w:hAnsi="宋体" w:eastAsia="宋体"/>
          <w:szCs w:val="28"/>
          <w:lang w:val="en-US" w:eastAsia="zh-CN"/>
        </w:rPr>
        <w:t>纵向</w:t>
      </w:r>
      <w:r>
        <w:rPr>
          <w:rFonts w:hint="eastAsia" w:ascii="宋体" w:hAnsi="宋体" w:eastAsia="宋体"/>
          <w:szCs w:val="28"/>
        </w:rPr>
        <w:t>项目变更审核</w:t>
      </w:r>
      <w:r>
        <w:tab/>
      </w:r>
      <w:r>
        <w:fldChar w:fldCharType="begin"/>
      </w:r>
      <w:r>
        <w:instrText xml:space="preserve"> PAGEREF _Toc8837 \h </w:instrText>
      </w:r>
      <w:r>
        <w:fldChar w:fldCharType="separate"/>
      </w:r>
      <w:r>
        <w:t>11</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_Toc17392 </w:instrText>
      </w:r>
      <w:r>
        <w:rPr>
          <w:bCs/>
          <w:lang w:val="zh-CN"/>
        </w:rPr>
        <w:fldChar w:fldCharType="separate"/>
      </w:r>
      <w:r>
        <w:t xml:space="preserve">8 </w:t>
      </w:r>
      <w:r>
        <w:rPr>
          <w:rFonts w:hint="eastAsia"/>
        </w:rPr>
        <w:t>经费认领</w:t>
      </w:r>
      <w:r>
        <w:tab/>
      </w:r>
      <w:r>
        <w:fldChar w:fldCharType="begin"/>
      </w:r>
      <w:r>
        <w:instrText xml:space="preserve"> PAGEREF _Toc17392 \h </w:instrText>
      </w:r>
      <w:r>
        <w:fldChar w:fldCharType="separate"/>
      </w:r>
      <w:r>
        <w:t>11</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_Toc17222 </w:instrText>
      </w:r>
      <w:r>
        <w:rPr>
          <w:bCs/>
          <w:lang w:val="zh-CN"/>
        </w:rPr>
        <w:fldChar w:fldCharType="separate"/>
      </w:r>
      <w:r>
        <w:t xml:space="preserve">9 </w:t>
      </w:r>
      <w:r>
        <w:rPr>
          <w:rFonts w:hint="eastAsia"/>
        </w:rPr>
        <w:t>项目结账</w:t>
      </w:r>
      <w:r>
        <w:tab/>
      </w:r>
      <w:r>
        <w:fldChar w:fldCharType="begin"/>
      </w:r>
      <w:r>
        <w:instrText xml:space="preserve"> PAGEREF _Toc17222 \h </w:instrText>
      </w:r>
      <w:r>
        <w:fldChar w:fldCharType="separate"/>
      </w:r>
      <w:r>
        <w:t>12</w:t>
      </w:r>
      <w:r>
        <w:fldChar w:fldCharType="end"/>
      </w:r>
      <w:r>
        <w:rPr>
          <w:bCs/>
          <w:lang w:val="zh-CN"/>
        </w:rPr>
        <w:fldChar w:fldCharType="end"/>
      </w:r>
    </w:p>
    <w:p>
      <w:r>
        <w:rPr>
          <w:bCs/>
          <w:lang w:val="zh-CN"/>
        </w:rPr>
        <w:fldChar w:fldCharType="end"/>
      </w:r>
    </w:p>
    <w:p/>
    <w:p>
      <w:pPr>
        <w:widowControl/>
        <w:jc w:val="left"/>
      </w:pPr>
      <w:r>
        <w:br w:type="page"/>
      </w:r>
    </w:p>
    <w:p>
      <w:pPr>
        <w:pStyle w:val="2"/>
        <w:numPr>
          <w:ilvl w:val="0"/>
          <w:numId w:val="2"/>
        </w:numPr>
        <w:snapToGrid w:val="0"/>
        <w:spacing w:before="960" w:line="400" w:lineRule="exact"/>
        <w:ind w:left="431" w:hanging="431"/>
      </w:pPr>
      <w:bookmarkStart w:id="0" w:name="_Toc29122"/>
      <w:r>
        <w:rPr>
          <w:rFonts w:hint="eastAsia"/>
        </w:rPr>
        <w:t>引言</w:t>
      </w:r>
      <w:bookmarkEnd w:id="0"/>
    </w:p>
    <w:p>
      <w:pPr>
        <w:pStyle w:val="3"/>
        <w:numPr>
          <w:ilvl w:val="1"/>
          <w:numId w:val="2"/>
        </w:numPr>
        <w:spacing w:after="0" w:line="413" w:lineRule="auto"/>
        <w:ind w:left="578" w:hanging="578"/>
        <w:rPr>
          <w:rFonts w:ascii="宋体" w:hAnsi="宋体" w:eastAsia="宋体"/>
        </w:rPr>
      </w:pPr>
      <w:bookmarkStart w:id="1" w:name="_Toc22716"/>
      <w:r>
        <w:rPr>
          <w:rFonts w:hint="eastAsia" w:ascii="宋体" w:hAnsi="宋体" w:eastAsia="宋体"/>
        </w:rPr>
        <w:t>编写目的</w:t>
      </w:r>
      <w:bookmarkEnd w:id="1"/>
    </w:p>
    <w:p>
      <w:pPr>
        <w:spacing w:line="400" w:lineRule="exact"/>
        <w:ind w:left="105" w:leftChars="50" w:firstLine="525" w:firstLineChars="250"/>
        <w:rPr>
          <w:iCs/>
        </w:rPr>
      </w:pPr>
      <w:r>
        <w:rPr>
          <w:rFonts w:hint="eastAsia"/>
          <w:iCs/>
        </w:rPr>
        <w:t>为了使用户借助本手册的帮助，掌握</w:t>
      </w:r>
      <w:r>
        <w:rPr>
          <w:rFonts w:hint="eastAsia"/>
          <w:iCs/>
          <w:lang w:val="en-US" w:eastAsia="zh-CN"/>
        </w:rPr>
        <w:t>科研</w:t>
      </w:r>
      <w:bookmarkStart w:id="22" w:name="_GoBack"/>
      <w:bookmarkEnd w:id="22"/>
      <w:r>
        <w:rPr>
          <w:rFonts w:hint="eastAsia"/>
          <w:iCs/>
        </w:rPr>
        <w:t>项目管理系统的使用方法，熟悉系统的操作要点和操作注意事项。</w:t>
      </w:r>
    </w:p>
    <w:p>
      <w:pPr>
        <w:pStyle w:val="3"/>
        <w:numPr>
          <w:ilvl w:val="1"/>
          <w:numId w:val="2"/>
        </w:numPr>
        <w:spacing w:after="0" w:line="413" w:lineRule="auto"/>
        <w:ind w:left="578" w:hanging="578"/>
        <w:rPr>
          <w:rFonts w:ascii="宋体" w:hAnsi="宋体" w:eastAsia="宋体"/>
        </w:rPr>
      </w:pPr>
      <w:bookmarkStart w:id="2" w:name="_Toc13391"/>
      <w:r>
        <w:rPr>
          <w:rFonts w:hint="eastAsia" w:ascii="宋体" w:hAnsi="宋体" w:eastAsia="宋体"/>
        </w:rPr>
        <w:t>适用范围</w:t>
      </w:r>
      <w:bookmarkEnd w:id="2"/>
    </w:p>
    <w:p>
      <w:pPr>
        <w:spacing w:line="400" w:lineRule="exact"/>
        <w:ind w:left="105" w:leftChars="50" w:firstLine="525" w:firstLineChars="250"/>
      </w:pPr>
      <w:r>
        <w:rPr>
          <w:rFonts w:hint="eastAsia"/>
        </w:rPr>
        <w:t>使用本系统的财务人员。</w:t>
      </w:r>
    </w:p>
    <w:p>
      <w:pPr>
        <w:pStyle w:val="2"/>
        <w:numPr>
          <w:ilvl w:val="0"/>
          <w:numId w:val="2"/>
        </w:numPr>
        <w:snapToGrid w:val="0"/>
        <w:spacing w:before="960" w:line="400" w:lineRule="exact"/>
        <w:ind w:left="431" w:hanging="431"/>
      </w:pPr>
      <w:bookmarkStart w:id="3" w:name="_Toc13373"/>
      <w:r>
        <w:rPr>
          <w:rFonts w:hint="eastAsia"/>
        </w:rPr>
        <w:t>系统概述</w:t>
      </w:r>
      <w:bookmarkEnd w:id="3"/>
    </w:p>
    <w:p>
      <w:pPr>
        <w:pStyle w:val="3"/>
        <w:numPr>
          <w:ilvl w:val="1"/>
          <w:numId w:val="2"/>
        </w:numPr>
        <w:spacing w:after="0" w:line="413" w:lineRule="auto"/>
        <w:ind w:left="578" w:hanging="578"/>
        <w:rPr>
          <w:rFonts w:ascii="宋体" w:hAnsi="宋体" w:eastAsia="宋体"/>
          <w:sz w:val="28"/>
          <w:szCs w:val="28"/>
        </w:rPr>
      </w:pPr>
      <w:bookmarkStart w:id="4" w:name="_Toc28658"/>
      <w:r>
        <w:rPr>
          <w:rFonts w:hint="eastAsia" w:ascii="宋体" w:hAnsi="宋体" w:eastAsia="宋体"/>
          <w:sz w:val="28"/>
          <w:szCs w:val="28"/>
        </w:rPr>
        <w:t>系统简介</w:t>
      </w:r>
      <w:bookmarkEnd w:id="4"/>
    </w:p>
    <w:p>
      <w:pPr>
        <w:spacing w:line="400" w:lineRule="exact"/>
        <w:ind w:left="105" w:leftChars="50" w:firstLine="525" w:firstLineChars="250"/>
        <w:rPr>
          <w:iCs/>
        </w:rPr>
      </w:pPr>
      <w:r>
        <w:rPr>
          <w:rFonts w:hint="eastAsia"/>
          <w:iCs/>
        </w:rPr>
        <w:t>本次上线的是同济大学</w:t>
      </w:r>
      <w:r>
        <w:rPr>
          <w:rFonts w:hint="eastAsia"/>
          <w:iCs/>
          <w:lang w:val="en-US" w:eastAsia="zh-CN"/>
        </w:rPr>
        <w:t>横向项目、专利转化项目管理的模块，原横向项目数据迁移到本系统，横向和专利转化项目的立项、变更、经费认领、结题、结账都和纵向项目一样在科研系统中操作</w:t>
      </w:r>
      <w:r>
        <w:rPr>
          <w:rFonts w:hint="eastAsia"/>
          <w:iCs/>
        </w:rPr>
        <w:t>。</w:t>
      </w:r>
    </w:p>
    <w:p>
      <w:pPr>
        <w:spacing w:line="400" w:lineRule="exact"/>
        <w:ind w:left="105" w:leftChars="50" w:firstLine="525" w:firstLineChars="250"/>
        <w:rPr>
          <w:rFonts w:hint="eastAsia"/>
          <w:iCs/>
        </w:rPr>
      </w:pPr>
      <w:r>
        <w:rPr>
          <w:rFonts w:hint="eastAsia"/>
          <w:iCs/>
        </w:rPr>
        <w:t>财务人员在系统中</w:t>
      </w:r>
      <w:r>
        <w:rPr>
          <w:rFonts w:hint="eastAsia"/>
          <w:iCs/>
          <w:lang w:val="en-US" w:eastAsia="zh-CN"/>
        </w:rPr>
        <w:t>对</w:t>
      </w:r>
      <w:r>
        <w:rPr>
          <w:rFonts w:hint="eastAsia"/>
          <w:b/>
          <w:bCs/>
          <w:iCs/>
          <w:lang w:val="en-US" w:eastAsia="zh-CN"/>
        </w:rPr>
        <w:t>纵向项目的操作不变</w:t>
      </w:r>
      <w:r>
        <w:rPr>
          <w:rFonts w:hint="eastAsia"/>
          <w:iCs/>
          <w:lang w:val="en-US" w:eastAsia="zh-CN"/>
        </w:rPr>
        <w:t>，包括：财务预算配置、</w:t>
      </w:r>
      <w:r>
        <w:rPr>
          <w:rFonts w:hint="eastAsia"/>
          <w:iCs/>
        </w:rPr>
        <w:t>审核项目立项、项目变更（如有预算变更需要财务审核）、经费到账、项目结账流程。</w:t>
      </w:r>
    </w:p>
    <w:p>
      <w:pPr>
        <w:spacing w:line="400" w:lineRule="exact"/>
        <w:ind w:left="105" w:leftChars="50" w:firstLine="527" w:firstLineChars="250"/>
        <w:rPr>
          <w:rFonts w:hint="default"/>
          <w:b/>
          <w:bCs/>
          <w:iCs/>
          <w:lang w:val="en-US" w:eastAsia="zh-CN"/>
        </w:rPr>
      </w:pPr>
      <w:r>
        <w:rPr>
          <w:rFonts w:hint="eastAsia"/>
          <w:b/>
          <w:bCs/>
          <w:iCs/>
          <w:lang w:val="en-US" w:eastAsia="zh-CN"/>
        </w:rPr>
        <w:t>财务人员在系统中对横向项目的操作包括：经费认领、项目结账。横纵向系统合并后横向项目的经费认领、项目结账流程与纵向项目的流程相同。</w:t>
      </w:r>
    </w:p>
    <w:p>
      <w:pPr>
        <w:pStyle w:val="2"/>
        <w:numPr>
          <w:ilvl w:val="0"/>
          <w:numId w:val="2"/>
        </w:numPr>
      </w:pPr>
      <w:bookmarkStart w:id="5" w:name="_Toc28682"/>
      <w:r>
        <w:rPr>
          <w:rFonts w:hint="eastAsia"/>
        </w:rPr>
        <w:t>登录方式</w:t>
      </w:r>
      <w:bookmarkEnd w:id="5"/>
    </w:p>
    <w:tbl>
      <w:tblPr>
        <w:tblStyle w:val="10"/>
        <w:tblW w:w="8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63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trPr>
        <w:tc>
          <w:tcPr>
            <w:tcW w:w="2122" w:type="dxa"/>
            <w:shd w:val="clear" w:color="auto" w:fill="D9D9D9"/>
          </w:tcPr>
          <w:p>
            <w:pPr>
              <w:spacing w:after="120"/>
              <w:rPr>
                <w:rFonts w:cs="Arial"/>
                <w:szCs w:val="21"/>
              </w:rPr>
            </w:pPr>
            <w:r>
              <w:rPr>
                <w:rFonts w:hint="eastAsia" w:cs="Arial"/>
                <w:szCs w:val="21"/>
              </w:rPr>
              <w:t>系统地址</w:t>
            </w:r>
          </w:p>
        </w:tc>
        <w:tc>
          <w:tcPr>
            <w:tcW w:w="6378" w:type="dxa"/>
          </w:tcPr>
          <w:p>
            <w:pPr>
              <w:autoSpaceDE w:val="0"/>
              <w:autoSpaceDN w:val="0"/>
              <w:adjustRightInd w:val="0"/>
              <w:jc w:val="left"/>
              <w:rPr>
                <w:rFonts w:cs="Arial"/>
                <w:iCs/>
                <w:szCs w:val="21"/>
              </w:rPr>
            </w:pPr>
            <w:r>
              <w:rPr>
                <w:rFonts w:hint="eastAsia" w:ascii="宋体" w:hAnsi="宋体" w:cs="宋体"/>
                <w:sz w:val="24"/>
                <w:szCs w:val="24"/>
                <w:lang w:val="en-US" w:eastAsia="zh-CN"/>
              </w:rPr>
              <w:t>ky.tongji.edu.cn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122" w:type="dxa"/>
            <w:shd w:val="clear" w:color="auto" w:fill="D9D9D9"/>
          </w:tcPr>
          <w:p>
            <w:pPr>
              <w:spacing w:after="120"/>
              <w:rPr>
                <w:rFonts w:cs="Arial"/>
                <w:szCs w:val="21"/>
              </w:rPr>
            </w:pPr>
            <w:r>
              <w:rPr>
                <w:rFonts w:hint="eastAsia" w:cs="Arial"/>
                <w:szCs w:val="21"/>
              </w:rPr>
              <w:t>账号</w:t>
            </w:r>
          </w:p>
        </w:tc>
        <w:tc>
          <w:tcPr>
            <w:tcW w:w="6378" w:type="dxa"/>
          </w:tcPr>
          <w:p>
            <w:pPr>
              <w:spacing w:after="120"/>
              <w:rPr>
                <w:rFonts w:hint="default" w:eastAsia="宋体" w:cs="Arial"/>
                <w:iCs/>
                <w:szCs w:val="21"/>
                <w:lang w:val="en-US" w:eastAsia="zh-CN"/>
              </w:rPr>
            </w:pPr>
            <w:r>
              <w:rPr>
                <w:rFonts w:hint="eastAsia" w:cs="Arial"/>
                <w:iCs/>
                <w:szCs w:val="21"/>
                <w:lang w:val="en-US" w:eastAsia="zh-CN"/>
              </w:rPr>
              <w:t>工号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122" w:type="dxa"/>
            <w:shd w:val="clear" w:color="auto" w:fill="D9D9D9"/>
          </w:tcPr>
          <w:p>
            <w:pPr>
              <w:spacing w:after="120"/>
              <w:rPr>
                <w:rFonts w:cs="Arial"/>
                <w:szCs w:val="21"/>
              </w:rPr>
            </w:pPr>
            <w:r>
              <w:rPr>
                <w:rFonts w:hint="eastAsia" w:cs="Arial"/>
                <w:szCs w:val="21"/>
              </w:rPr>
              <w:t>说明</w:t>
            </w:r>
          </w:p>
        </w:tc>
        <w:tc>
          <w:tcPr>
            <w:tcW w:w="6378" w:type="dxa"/>
          </w:tcPr>
          <w:p>
            <w:pPr>
              <w:spacing w:after="120"/>
              <w:rPr>
                <w:rFonts w:hint="default" w:cs="Arial"/>
                <w:iCs/>
                <w:szCs w:val="21"/>
                <w:lang w:val="en-US" w:eastAsia="zh-CN"/>
              </w:rPr>
            </w:pPr>
            <w:r>
              <w:rPr>
                <w:rFonts w:hint="eastAsia" w:cs="Arial"/>
                <w:iCs/>
                <w:szCs w:val="21"/>
                <w:lang w:val="en-US" w:eastAsia="zh-CN"/>
              </w:rPr>
              <w:t>使用统一身份认证登录</w:t>
            </w:r>
          </w:p>
        </w:tc>
      </w:tr>
    </w:tbl>
    <w:p>
      <w:pPr>
        <w:pageBreakBefore w:val="0"/>
        <w:widowControl w:val="0"/>
        <w:numPr>
          <w:ilvl w:val="0"/>
          <w:numId w:val="0"/>
        </w:numPr>
        <w:tabs>
          <w:tab w:val="left" w:pos="855"/>
        </w:tabs>
        <w:kinsoku/>
        <w:wordWrap/>
        <w:overflowPunct/>
        <w:topLinePunct w:val="0"/>
        <w:autoSpaceDE/>
        <w:autoSpaceDN/>
        <w:bidi w:val="0"/>
        <w:adjustRightInd/>
        <w:snapToGrid/>
        <w:ind w:leftChars="0"/>
        <w:jc w:val="center"/>
        <w:textAlignment w:val="auto"/>
        <w:outlineLvl w:val="9"/>
      </w:pPr>
      <w:r>
        <w:drawing>
          <wp:inline distT="0" distB="0" distL="114300" distR="114300">
            <wp:extent cx="2994025" cy="3305175"/>
            <wp:effectExtent l="0" t="0" r="15875" b="952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5"/>
                    <a:stretch>
                      <a:fillRect/>
                    </a:stretch>
                  </pic:blipFill>
                  <pic:spPr>
                    <a:xfrm>
                      <a:off x="0" y="0"/>
                      <a:ext cx="2994025" cy="3305175"/>
                    </a:xfrm>
                    <a:prstGeom prst="rect">
                      <a:avLst/>
                    </a:prstGeom>
                    <a:noFill/>
                    <a:ln>
                      <a:noFill/>
                    </a:ln>
                  </pic:spPr>
                </pic:pic>
              </a:graphicData>
            </a:graphic>
          </wp:inline>
        </w:drawing>
      </w:r>
    </w:p>
    <w:p>
      <w:pPr>
        <w:pageBreakBefore w:val="0"/>
        <w:widowControl w:val="0"/>
        <w:kinsoku/>
        <w:wordWrap/>
        <w:overflowPunct/>
        <w:topLinePunct w:val="0"/>
        <w:autoSpaceDE/>
        <w:autoSpaceDN/>
        <w:bidi w:val="0"/>
        <w:adjustRightInd/>
        <w:snapToGrid/>
        <w:textAlignment w:val="auto"/>
        <w:outlineLvl w:val="9"/>
      </w:pPr>
      <w:r>
        <w:drawing>
          <wp:inline distT="0" distB="0" distL="114300" distR="114300">
            <wp:extent cx="5265420" cy="1651635"/>
            <wp:effectExtent l="0" t="0" r="1143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65420" cy="1651635"/>
                    </a:xfrm>
                    <a:prstGeom prst="rect">
                      <a:avLst/>
                    </a:prstGeom>
                    <a:noFill/>
                    <a:ln>
                      <a:noFill/>
                    </a:ln>
                  </pic:spPr>
                </pic:pic>
              </a:graphicData>
            </a:graphic>
          </wp:inline>
        </w:drawing>
      </w:r>
    </w:p>
    <w:p>
      <w:pPr>
        <w:pageBreakBefore w:val="0"/>
        <w:widowControl w:val="0"/>
        <w:numPr>
          <w:ilvl w:val="0"/>
          <w:numId w:val="2"/>
        </w:numPr>
        <w:tabs>
          <w:tab w:val="left" w:pos="855"/>
        </w:tabs>
        <w:kinsoku/>
        <w:wordWrap/>
        <w:overflowPunct/>
        <w:topLinePunct w:val="0"/>
        <w:autoSpaceDE/>
        <w:autoSpaceDN/>
        <w:bidi w:val="0"/>
        <w:adjustRightInd/>
        <w:snapToGrid/>
        <w:textAlignment w:val="auto"/>
        <w:outlineLvl w:val="9"/>
      </w:pPr>
      <w:r>
        <w:rPr>
          <w:rFonts w:hint="eastAsia"/>
          <w:lang w:val="en-US" w:eastAsia="zh-CN"/>
        </w:rPr>
        <w:t>预算相关配置</w:t>
      </w:r>
    </w:p>
    <w:p>
      <w:pPr>
        <w:pageBreakBefore w:val="0"/>
        <w:widowControl w:val="0"/>
        <w:kinsoku/>
        <w:wordWrap/>
        <w:overflowPunct/>
        <w:topLinePunct w:val="0"/>
        <w:autoSpaceDE/>
        <w:autoSpaceDN/>
        <w:bidi w:val="0"/>
        <w:adjustRightInd/>
        <w:snapToGrid/>
        <w:jc w:val="center"/>
        <w:textAlignment w:val="auto"/>
        <w:outlineLvl w:val="9"/>
      </w:pPr>
      <w:r>
        <w:drawing>
          <wp:inline distT="0" distB="0" distL="114300" distR="114300">
            <wp:extent cx="5273040" cy="2947035"/>
            <wp:effectExtent l="0" t="0" r="3810" b="571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7"/>
                    <a:stretch>
                      <a:fillRect/>
                    </a:stretch>
                  </pic:blipFill>
                  <pic:spPr>
                    <a:xfrm>
                      <a:off x="0" y="0"/>
                      <a:ext cx="5273040" cy="2947035"/>
                    </a:xfrm>
                    <a:prstGeom prst="rect">
                      <a:avLst/>
                    </a:prstGeom>
                    <a:noFill/>
                    <a:ln>
                      <a:noFill/>
                    </a:ln>
                  </pic:spPr>
                </pic:pic>
              </a:graphicData>
            </a:graphic>
          </wp:inline>
        </w:drawing>
      </w:r>
    </w:p>
    <w:p>
      <w:pPr>
        <w:pStyle w:val="3"/>
        <w:numPr>
          <w:ilvl w:val="1"/>
          <w:numId w:val="3"/>
        </w:numPr>
        <w:spacing w:after="0" w:line="413" w:lineRule="auto"/>
        <w:ind w:left="578" w:hanging="578"/>
        <w:rPr>
          <w:rFonts w:ascii="宋体" w:hAnsi="宋体" w:eastAsia="宋体"/>
          <w:sz w:val="28"/>
          <w:szCs w:val="28"/>
        </w:rPr>
      </w:pPr>
      <w:bookmarkStart w:id="6" w:name="_Toc92744468"/>
      <w:bookmarkStart w:id="7" w:name="_Toc25869"/>
      <w:r>
        <w:rPr>
          <w:rFonts w:hint="eastAsia" w:ascii="宋体" w:hAnsi="宋体" w:eastAsia="宋体"/>
          <w:sz w:val="28"/>
          <w:szCs w:val="28"/>
          <w:lang w:val="en-US" w:eastAsia="zh-CN"/>
        </w:rPr>
        <w:t>科研</w:t>
      </w:r>
      <w:r>
        <w:rPr>
          <w:rFonts w:hint="eastAsia" w:ascii="宋体" w:hAnsi="宋体" w:eastAsia="宋体"/>
          <w:sz w:val="28"/>
          <w:szCs w:val="28"/>
        </w:rPr>
        <w:t>预算项</w:t>
      </w:r>
      <w:bookmarkEnd w:id="6"/>
      <w:r>
        <w:rPr>
          <w:rFonts w:hint="eastAsia" w:ascii="宋体" w:hAnsi="宋体" w:eastAsia="宋体"/>
          <w:sz w:val="28"/>
          <w:szCs w:val="28"/>
          <w:lang w:val="en-US" w:eastAsia="zh-CN"/>
        </w:rPr>
        <w:t>和科研预算模板</w:t>
      </w:r>
      <w:bookmarkEnd w:id="7"/>
    </w:p>
    <w:p>
      <w:pPr>
        <w:rPr>
          <w:rFonts w:hint="default" w:eastAsia="宋体"/>
          <w:lang w:val="en-US" w:eastAsia="zh-CN"/>
        </w:rPr>
      </w:pPr>
      <w:r>
        <w:rPr>
          <w:rFonts w:hint="eastAsia"/>
          <w:lang w:val="en-US" w:eastAsia="zh-CN"/>
        </w:rPr>
        <w:t>科研预算项和预算模板是由系统管理员配置的，财务人员可以查看。</w:t>
      </w:r>
    </w:p>
    <w:p>
      <w:pPr>
        <w:pStyle w:val="3"/>
        <w:numPr>
          <w:ilvl w:val="1"/>
          <w:numId w:val="3"/>
        </w:numPr>
        <w:spacing w:after="0" w:line="413" w:lineRule="auto"/>
        <w:ind w:left="578" w:hanging="578"/>
        <w:rPr>
          <w:rFonts w:ascii="宋体" w:hAnsi="宋体" w:eastAsia="宋体"/>
          <w:sz w:val="28"/>
          <w:szCs w:val="28"/>
        </w:rPr>
      </w:pPr>
      <w:bookmarkStart w:id="8" w:name="_Toc92744469"/>
      <w:bookmarkStart w:id="9" w:name="_Toc14674"/>
      <w:r>
        <w:rPr>
          <w:rFonts w:hint="eastAsia" w:ascii="宋体" w:hAnsi="宋体" w:eastAsia="宋体"/>
          <w:sz w:val="28"/>
          <w:szCs w:val="28"/>
        </w:rPr>
        <w:t>财务预算</w:t>
      </w:r>
      <w:r>
        <w:rPr>
          <w:rFonts w:hint="eastAsia" w:ascii="宋体" w:hAnsi="宋体" w:eastAsia="宋体"/>
          <w:sz w:val="28"/>
          <w:szCs w:val="28"/>
          <w:lang w:val="en-US" w:eastAsia="zh-CN"/>
        </w:rPr>
        <w:t>项和财务预算</w:t>
      </w:r>
      <w:r>
        <w:rPr>
          <w:rFonts w:hint="eastAsia" w:ascii="宋体" w:hAnsi="宋体" w:eastAsia="宋体"/>
          <w:sz w:val="28"/>
          <w:szCs w:val="28"/>
        </w:rPr>
        <w:t>模板</w:t>
      </w:r>
      <w:bookmarkEnd w:id="8"/>
      <w:bookmarkEnd w:id="9"/>
    </w:p>
    <w:p>
      <w:pPr>
        <w:rPr>
          <w:rFonts w:hint="default" w:eastAsia="宋体"/>
          <w:lang w:val="en-US" w:eastAsia="zh-CN"/>
        </w:rPr>
      </w:pPr>
      <w:r>
        <w:rPr>
          <w:rFonts w:hint="eastAsia"/>
          <w:lang w:val="en-US" w:eastAsia="zh-CN"/>
        </w:rPr>
        <w:t>财务预算项和财务预算模板</w:t>
      </w:r>
      <w:r>
        <w:rPr>
          <w:rFonts w:hint="eastAsia"/>
        </w:rPr>
        <w:t>是从财务系统同步来的</w:t>
      </w:r>
      <w:r>
        <w:rPr>
          <w:rFonts w:hint="eastAsia"/>
          <w:lang w:eastAsia="zh-CN"/>
        </w:rPr>
        <w:t>，</w:t>
      </w:r>
      <w:r>
        <w:rPr>
          <w:rFonts w:hint="eastAsia"/>
          <w:lang w:val="en-US" w:eastAsia="zh-CN"/>
        </w:rPr>
        <w:t>财务人员可以查看。</w:t>
      </w:r>
    </w:p>
    <w:p>
      <w:pPr>
        <w:pStyle w:val="3"/>
        <w:numPr>
          <w:ilvl w:val="1"/>
          <w:numId w:val="3"/>
        </w:numPr>
        <w:spacing w:after="0" w:line="413" w:lineRule="auto"/>
        <w:ind w:left="578" w:hanging="578"/>
        <w:rPr>
          <w:rFonts w:ascii="宋体" w:hAnsi="宋体" w:eastAsia="宋体"/>
          <w:sz w:val="28"/>
          <w:szCs w:val="28"/>
        </w:rPr>
      </w:pPr>
      <w:bookmarkStart w:id="10" w:name="_Toc10503"/>
      <w:bookmarkStart w:id="11" w:name="_Toc92744470"/>
      <w:r>
        <w:rPr>
          <w:rFonts w:hint="eastAsia" w:ascii="宋体" w:hAnsi="宋体" w:eastAsia="宋体"/>
          <w:sz w:val="28"/>
          <w:szCs w:val="28"/>
        </w:rPr>
        <w:t>项目与</w:t>
      </w:r>
      <w:r>
        <w:rPr>
          <w:rFonts w:hint="eastAsia" w:ascii="宋体" w:hAnsi="宋体" w:eastAsia="宋体"/>
          <w:sz w:val="28"/>
          <w:szCs w:val="28"/>
          <w:lang w:val="en-US" w:eastAsia="zh-CN"/>
        </w:rPr>
        <w:t>科研</w:t>
      </w:r>
      <w:r>
        <w:rPr>
          <w:rFonts w:hint="eastAsia" w:ascii="宋体" w:hAnsi="宋体" w:eastAsia="宋体"/>
          <w:sz w:val="28"/>
          <w:szCs w:val="28"/>
        </w:rPr>
        <w:t>预算模板对应关系</w:t>
      </w:r>
      <w:bookmarkEnd w:id="10"/>
      <w:bookmarkEnd w:id="11"/>
    </w:p>
    <w:p>
      <w:pPr>
        <w:rPr>
          <w:rFonts w:hint="default" w:eastAsia="宋体"/>
          <w:lang w:val="en-US" w:eastAsia="zh-CN"/>
        </w:rPr>
      </w:pPr>
      <w:r>
        <w:rPr>
          <w:rFonts w:hint="eastAsia"/>
        </w:rPr>
        <w:t>用来设置项目</w:t>
      </w:r>
      <w:r>
        <w:rPr>
          <w:rFonts w:hint="eastAsia"/>
          <w:lang w:val="en-US" w:eastAsia="zh-CN"/>
        </w:rPr>
        <w:t>一二级类别</w:t>
      </w:r>
      <w:r>
        <w:rPr>
          <w:rFonts w:hint="eastAsia"/>
        </w:rPr>
        <w:t>与科研预算模板的对应关系</w:t>
      </w:r>
      <w:r>
        <w:rPr>
          <w:rFonts w:hint="eastAsia"/>
          <w:lang w:eastAsia="zh-CN"/>
        </w:rPr>
        <w:t>，</w:t>
      </w:r>
      <w:r>
        <w:rPr>
          <w:rFonts w:hint="eastAsia"/>
          <w:lang w:val="en-US" w:eastAsia="zh-CN"/>
        </w:rPr>
        <w:t>此设置系统管理员完成，供财务人员查看，设置的目的是在项目立项流程发起时，根据老师选择的一二级类别自动带出对应的科研预算模板。</w:t>
      </w:r>
    </w:p>
    <w:p>
      <w:r>
        <w:drawing>
          <wp:inline distT="0" distB="0" distL="114300" distR="114300">
            <wp:extent cx="5269865" cy="2312670"/>
            <wp:effectExtent l="9525" t="9525" r="24130" b="952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8"/>
                    <a:stretch>
                      <a:fillRect/>
                    </a:stretch>
                  </pic:blipFill>
                  <pic:spPr>
                    <a:xfrm>
                      <a:off x="0" y="0"/>
                      <a:ext cx="5269865" cy="2312670"/>
                    </a:xfrm>
                    <a:prstGeom prst="rect">
                      <a:avLst/>
                    </a:prstGeom>
                    <a:noFill/>
                    <a:ln>
                      <a:solidFill>
                        <a:schemeClr val="bg2">
                          <a:lumMod val="90000"/>
                        </a:schemeClr>
                      </a:solidFill>
                    </a:ln>
                  </pic:spPr>
                </pic:pic>
              </a:graphicData>
            </a:graphic>
          </wp:inline>
        </w:drawing>
      </w:r>
    </w:p>
    <w:p>
      <w:pPr>
        <w:pStyle w:val="3"/>
        <w:numPr>
          <w:ilvl w:val="1"/>
          <w:numId w:val="3"/>
        </w:numPr>
        <w:spacing w:after="0" w:line="413" w:lineRule="auto"/>
        <w:ind w:left="578" w:hanging="578"/>
        <w:rPr>
          <w:rFonts w:ascii="宋体" w:hAnsi="宋体" w:eastAsia="宋体"/>
          <w:sz w:val="28"/>
          <w:szCs w:val="28"/>
        </w:rPr>
      </w:pPr>
      <w:bookmarkStart w:id="12" w:name="_Toc92744471"/>
      <w:bookmarkStart w:id="13" w:name="_Toc16652"/>
      <w:r>
        <w:rPr>
          <w:rFonts w:hint="eastAsia" w:ascii="宋体" w:hAnsi="宋体" w:eastAsia="宋体"/>
          <w:sz w:val="28"/>
          <w:szCs w:val="28"/>
          <w:lang w:val="en-US" w:eastAsia="zh-CN"/>
        </w:rPr>
        <w:t>经费卡号与</w:t>
      </w:r>
      <w:r>
        <w:rPr>
          <w:rFonts w:hint="eastAsia" w:ascii="宋体" w:hAnsi="宋体" w:eastAsia="宋体"/>
          <w:sz w:val="28"/>
          <w:szCs w:val="28"/>
        </w:rPr>
        <w:t>预算对应关系</w:t>
      </w:r>
      <w:bookmarkEnd w:id="12"/>
      <w:bookmarkEnd w:id="13"/>
    </w:p>
    <w:p>
      <w:pPr>
        <w:rPr>
          <w:rFonts w:hint="default"/>
          <w:lang w:val="en-US" w:eastAsia="zh-CN"/>
        </w:rPr>
      </w:pPr>
      <w:r>
        <w:rPr>
          <w:rFonts w:hint="eastAsia"/>
          <w:lang w:val="en-US" w:eastAsia="zh-CN"/>
        </w:rPr>
        <w:t>财务人员需要在这里设置经费卡号类别与财务预算模板的对应关系。</w:t>
      </w:r>
    </w:p>
    <w:p>
      <w:r>
        <w:rPr>
          <w:rFonts w:hint="eastAsia"/>
          <w:lang w:val="en-US" w:eastAsia="zh-CN"/>
        </w:rPr>
        <w:t>该数据前两列是由上一项设置“项目科研预算对应关系”自动生成，财务人员根据每行数据的经费卡号类别来配置财务预算模板</w:t>
      </w:r>
      <w:r>
        <w:rPr>
          <w:rFonts w:hint="eastAsia"/>
        </w:rPr>
        <w:t>。</w:t>
      </w:r>
    </w:p>
    <w:p>
      <w:r>
        <w:drawing>
          <wp:inline distT="0" distB="0" distL="114300" distR="114300">
            <wp:extent cx="5262880" cy="786130"/>
            <wp:effectExtent l="9525" t="9525" r="15875" b="1206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9"/>
                    <a:stretch>
                      <a:fillRect/>
                    </a:stretch>
                  </pic:blipFill>
                  <pic:spPr>
                    <a:xfrm>
                      <a:off x="0" y="0"/>
                      <a:ext cx="5262880" cy="786130"/>
                    </a:xfrm>
                    <a:prstGeom prst="rect">
                      <a:avLst/>
                    </a:prstGeom>
                    <a:noFill/>
                    <a:ln>
                      <a:solidFill>
                        <a:schemeClr val="bg2">
                          <a:lumMod val="90000"/>
                        </a:schemeClr>
                      </a:solidFill>
                    </a:ln>
                  </pic:spPr>
                </pic:pic>
              </a:graphicData>
            </a:graphic>
          </wp:inline>
        </w:drawing>
      </w:r>
    </w:p>
    <w:p>
      <w:r>
        <w:rPr>
          <w:rFonts w:hint="eastAsia"/>
        </w:rPr>
        <w:t>设置</w:t>
      </w:r>
      <w:r>
        <w:rPr>
          <w:rFonts w:hint="eastAsia"/>
          <w:lang w:val="en-US" w:eastAsia="zh-CN"/>
        </w:rPr>
        <w:t>方式是点击每一行上的“编辑”按钮打开详情选择财务预算模板，可多选</w:t>
      </w:r>
      <w:r>
        <w:rPr>
          <w:rFonts w:hint="eastAsia"/>
        </w:rPr>
        <w:t>。</w:t>
      </w:r>
    </w:p>
    <w:p>
      <w:r>
        <w:drawing>
          <wp:inline distT="0" distB="0" distL="114300" distR="114300">
            <wp:extent cx="5271770" cy="2712085"/>
            <wp:effectExtent l="0" t="0" r="1270" b="63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0"/>
                    <a:stretch>
                      <a:fillRect/>
                    </a:stretch>
                  </pic:blipFill>
                  <pic:spPr>
                    <a:xfrm>
                      <a:off x="0" y="0"/>
                      <a:ext cx="5271770" cy="2712085"/>
                    </a:xfrm>
                    <a:prstGeom prst="rect">
                      <a:avLst/>
                    </a:prstGeom>
                    <a:noFill/>
                    <a:ln>
                      <a:noFill/>
                    </a:ln>
                  </pic:spPr>
                </pic:pic>
              </a:graphicData>
            </a:graphic>
          </wp:inline>
        </w:drawing>
      </w:r>
    </w:p>
    <w:p>
      <w:pPr>
        <w:pStyle w:val="3"/>
        <w:numPr>
          <w:ilvl w:val="1"/>
          <w:numId w:val="3"/>
        </w:numPr>
        <w:spacing w:after="0" w:line="413" w:lineRule="auto"/>
        <w:ind w:left="578" w:hanging="578"/>
        <w:rPr>
          <w:rFonts w:ascii="宋体" w:hAnsi="宋体" w:eastAsia="宋体"/>
          <w:sz w:val="28"/>
          <w:szCs w:val="28"/>
        </w:rPr>
      </w:pPr>
      <w:bookmarkStart w:id="14" w:name="_Toc32125"/>
      <w:r>
        <w:rPr>
          <w:rFonts w:hint="eastAsia" w:ascii="宋体" w:hAnsi="宋体" w:eastAsia="宋体"/>
          <w:sz w:val="28"/>
          <w:szCs w:val="28"/>
          <w:lang w:val="en-US" w:eastAsia="zh-CN"/>
        </w:rPr>
        <w:t>科研财务</w:t>
      </w:r>
      <w:r>
        <w:rPr>
          <w:rFonts w:hint="eastAsia" w:ascii="宋体" w:hAnsi="宋体" w:eastAsia="宋体"/>
          <w:sz w:val="28"/>
          <w:szCs w:val="28"/>
        </w:rPr>
        <w:t>预算对应关系</w:t>
      </w:r>
      <w:bookmarkEnd w:id="14"/>
    </w:p>
    <w:p>
      <w:pPr>
        <w:rPr>
          <w:rFonts w:hint="eastAsia"/>
          <w:lang w:val="en-US" w:eastAsia="zh-CN"/>
        </w:rPr>
      </w:pPr>
      <w:r>
        <w:rPr>
          <w:rFonts w:hint="eastAsia"/>
          <w:lang w:val="en-US" w:eastAsia="zh-CN"/>
        </w:rPr>
        <w:t>财务人员要在此设置科研的预算项和财务预算项的对应关系。</w:t>
      </w:r>
    </w:p>
    <w:p>
      <w:pPr>
        <w:rPr>
          <w:rFonts w:hint="eastAsia"/>
          <w:lang w:val="en-US" w:eastAsia="zh-CN"/>
        </w:rPr>
      </w:pPr>
      <w:r>
        <w:rPr>
          <w:rFonts w:hint="eastAsia"/>
          <w:lang w:val="en-US" w:eastAsia="zh-CN"/>
        </w:rPr>
        <w:t>系统从上一条设置“经费卡号和预算对应关系”里抽取出哪些科研和财务预算模板是有关系的把对应关系列出来自动生成该项设置的数据，财务人员打开详情把当前科研和财务模板上相对应的预算项关联起来，目的是在立项流程中财务人员填写项目的财务预算信息时系统能把发起人填写的科研预算金额自动带入到财务预算中来。</w:t>
      </w:r>
    </w:p>
    <w:p>
      <w:pPr>
        <w:rPr>
          <w:rFonts w:hint="default"/>
          <w:lang w:val="en-US" w:eastAsia="zh-CN"/>
        </w:rPr>
      </w:pPr>
      <w:r>
        <w:rPr>
          <w:rFonts w:hint="eastAsia"/>
          <w:lang w:val="en-US" w:eastAsia="zh-CN"/>
        </w:rPr>
        <w:t>设置方式是在财务预算项的右侧选择科研的预算项，如果没有对应关系就空着不设置即可。</w:t>
      </w:r>
    </w:p>
    <w:p>
      <w:pPr>
        <w:jc w:val="center"/>
        <w:rPr>
          <w:rFonts w:hint="default"/>
          <w:lang w:val="en-US" w:eastAsia="zh-CN"/>
        </w:rPr>
      </w:pPr>
      <w:r>
        <w:drawing>
          <wp:inline distT="0" distB="0" distL="0" distR="0">
            <wp:extent cx="5274310" cy="3888105"/>
            <wp:effectExtent l="0" t="0" r="13970" b="133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
                    <a:stretch>
                      <a:fillRect/>
                    </a:stretch>
                  </pic:blipFill>
                  <pic:spPr>
                    <a:xfrm>
                      <a:off x="0" y="0"/>
                      <a:ext cx="5274310" cy="3888105"/>
                    </a:xfrm>
                    <a:prstGeom prst="rect">
                      <a:avLst/>
                    </a:prstGeom>
                  </pic:spPr>
                </pic:pic>
              </a:graphicData>
            </a:graphic>
          </wp:inline>
        </w:drawing>
      </w:r>
    </w:p>
    <w:p>
      <w:pPr>
        <w:pStyle w:val="2"/>
        <w:numPr>
          <w:ilvl w:val="0"/>
          <w:numId w:val="2"/>
        </w:numPr>
      </w:pPr>
      <w:bookmarkStart w:id="15" w:name="_Toc19678"/>
      <w:r>
        <w:rPr>
          <w:rFonts w:hint="eastAsia"/>
        </w:rPr>
        <w:t>审批</w:t>
      </w:r>
      <w:r>
        <w:rPr>
          <w:rFonts w:hint="eastAsia"/>
          <w:lang w:val="en-US" w:eastAsia="zh-CN"/>
        </w:rPr>
        <w:t>的</w:t>
      </w:r>
      <w:r>
        <w:rPr>
          <w:rFonts w:hint="eastAsia"/>
        </w:rPr>
        <w:t>操作方法</w:t>
      </w:r>
      <w:bookmarkEnd w:id="15"/>
    </w:p>
    <w:p>
      <w:r>
        <w:rPr>
          <w:rFonts w:hint="eastAsia"/>
        </w:rPr>
        <w:t>第一步：登录系统后在首页看到有待办消息</w:t>
      </w:r>
    </w:p>
    <w:p>
      <w:pPr>
        <w:pStyle w:val="20"/>
        <w:ind w:left="432" w:firstLine="0" w:firstLineChars="0"/>
      </w:pPr>
      <w:r>
        <w:drawing>
          <wp:inline distT="0" distB="0" distL="114300" distR="114300">
            <wp:extent cx="5271770" cy="2004695"/>
            <wp:effectExtent l="0" t="0" r="5080" b="1460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12"/>
                    <a:stretch>
                      <a:fillRect/>
                    </a:stretch>
                  </pic:blipFill>
                  <pic:spPr>
                    <a:xfrm>
                      <a:off x="0" y="0"/>
                      <a:ext cx="5271770" cy="2004695"/>
                    </a:xfrm>
                    <a:prstGeom prst="rect">
                      <a:avLst/>
                    </a:prstGeom>
                    <a:noFill/>
                    <a:ln>
                      <a:noFill/>
                    </a:ln>
                  </pic:spPr>
                </pic:pic>
              </a:graphicData>
            </a:graphic>
          </wp:inline>
        </w:drawing>
      </w:r>
    </w:p>
    <w:p>
      <w:pPr>
        <w:pStyle w:val="20"/>
        <w:ind w:left="432" w:firstLine="0" w:firstLineChars="0"/>
      </w:pPr>
    </w:p>
    <w:p>
      <w:pPr>
        <w:rPr>
          <w:rFonts w:hint="default" w:eastAsia="宋体"/>
          <w:lang w:val="en-US" w:eastAsia="zh-CN"/>
        </w:rPr>
      </w:pPr>
      <w:r>
        <w:rPr>
          <w:rFonts w:hint="eastAsia"/>
        </w:rPr>
        <w:t>第二步：点击待办消息打开单据详情</w:t>
      </w:r>
      <w:r>
        <w:rPr>
          <w:rFonts w:hint="eastAsia"/>
          <w:lang w:val="en-US" w:eastAsia="zh-CN"/>
        </w:rPr>
        <w:t>做审批，操作按钮在右下角。</w:t>
      </w:r>
    </w:p>
    <w:p>
      <w:pPr>
        <w:pStyle w:val="20"/>
        <w:ind w:left="432" w:firstLine="0" w:firstLineChars="0"/>
      </w:pPr>
      <w:r>
        <w:rPr>
          <w:rFonts w:hint="eastAsia"/>
        </w:rPr>
        <w:t>操作按钮说明：</w:t>
      </w:r>
    </w:p>
    <w:p>
      <w:pPr>
        <w:pStyle w:val="20"/>
        <w:ind w:left="432" w:firstLine="0" w:firstLineChars="0"/>
      </w:pPr>
      <w:r>
        <w:rPr>
          <w:rFonts w:hint="eastAsia"/>
          <w:b/>
          <w:bCs/>
        </w:rPr>
        <w:t>同意：</w:t>
      </w:r>
      <w:r>
        <w:rPr>
          <w:rFonts w:hint="eastAsia"/>
        </w:rPr>
        <w:t>审核同意，提交后流程进入下一环节；</w:t>
      </w:r>
    </w:p>
    <w:p>
      <w:pPr>
        <w:pStyle w:val="20"/>
        <w:ind w:left="432" w:firstLine="0" w:firstLineChars="0"/>
      </w:pPr>
      <w:r>
        <w:rPr>
          <w:rFonts w:hint="eastAsia"/>
          <w:b/>
          <w:bCs/>
        </w:rPr>
        <w:t>加签：</w:t>
      </w:r>
      <w:r>
        <w:rPr>
          <w:rFonts w:hint="eastAsia"/>
        </w:rPr>
        <w:t>审核同意，在下一环节审批人审批之前增加额外的审批人；</w:t>
      </w:r>
    </w:p>
    <w:p>
      <w:pPr>
        <w:pStyle w:val="20"/>
        <w:ind w:left="432" w:firstLine="0" w:firstLineChars="0"/>
      </w:pPr>
      <w:r>
        <w:rPr>
          <w:rFonts w:hint="eastAsia"/>
          <w:b/>
          <w:bCs/>
        </w:rPr>
        <w:t>转办：</w:t>
      </w:r>
      <w:r>
        <w:rPr>
          <w:rFonts w:hint="eastAsia"/>
        </w:rPr>
        <w:t>提交下一环节审批人之前转交他们办理；</w:t>
      </w:r>
    </w:p>
    <w:p>
      <w:pPr>
        <w:pStyle w:val="20"/>
        <w:ind w:left="432" w:firstLine="0" w:firstLineChars="0"/>
      </w:pPr>
      <w:r>
        <w:rPr>
          <w:rFonts w:hint="eastAsia"/>
          <w:b/>
          <w:bCs/>
        </w:rPr>
        <w:t>退回：</w:t>
      </w:r>
      <w:r>
        <w:rPr>
          <w:rFonts w:hint="eastAsia"/>
        </w:rPr>
        <w:t>审批不同意，退回发起人；</w:t>
      </w:r>
    </w:p>
    <w:p>
      <w:pPr>
        <w:pStyle w:val="20"/>
        <w:ind w:left="432" w:firstLine="0" w:firstLineChars="0"/>
      </w:pPr>
      <w:r>
        <w:rPr>
          <w:rFonts w:hint="eastAsia"/>
          <w:b/>
          <w:bCs/>
        </w:rPr>
        <w:t>终止流程：</w:t>
      </w:r>
      <w:r>
        <w:rPr>
          <w:rFonts w:hint="eastAsia"/>
        </w:rPr>
        <w:t>终止后流程不再继续流转。</w:t>
      </w:r>
    </w:p>
    <w:p>
      <w:pPr>
        <w:pStyle w:val="20"/>
        <w:ind w:left="432" w:firstLine="0" w:firstLineChars="0"/>
      </w:pPr>
      <w:r>
        <w:drawing>
          <wp:inline distT="0" distB="0" distL="0" distR="0">
            <wp:extent cx="5274310" cy="396557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5274310" cy="3965575"/>
                    </a:xfrm>
                    <a:prstGeom prst="rect">
                      <a:avLst/>
                    </a:prstGeom>
                  </pic:spPr>
                </pic:pic>
              </a:graphicData>
            </a:graphic>
          </wp:inline>
        </w:drawing>
      </w:r>
    </w:p>
    <w:p/>
    <w:p>
      <w:pPr>
        <w:pStyle w:val="2"/>
        <w:numPr>
          <w:ilvl w:val="0"/>
          <w:numId w:val="2"/>
        </w:numPr>
      </w:pPr>
      <w:bookmarkStart w:id="16" w:name="_Toc23057"/>
      <w:r>
        <w:rPr>
          <w:rFonts w:hint="eastAsia"/>
          <w:lang w:val="en-US" w:eastAsia="zh-CN"/>
        </w:rPr>
        <w:t>纵向</w:t>
      </w:r>
      <w:r>
        <w:rPr>
          <w:rFonts w:hint="eastAsia"/>
        </w:rPr>
        <w:t>项目立项</w:t>
      </w:r>
      <w:bookmarkEnd w:id="16"/>
    </w:p>
    <w:p>
      <w:r>
        <w:rPr>
          <w:rFonts w:hint="eastAsia"/>
        </w:rPr>
        <w:t>项目立项在科研系统中的流程是：</w:t>
      </w:r>
    </w:p>
    <w:p>
      <w:pPr>
        <w:numPr>
          <w:ilvl w:val="0"/>
          <w:numId w:val="4"/>
        </w:numPr>
        <w:rPr>
          <w:rFonts w:hint="eastAsia"/>
        </w:rPr>
      </w:pPr>
      <w:r>
        <w:rPr>
          <w:rFonts w:hint="eastAsia"/>
        </w:rPr>
        <w:t>老师发起项目立项登记——2、院系科研秘书审核——3、院系科研领导审核——4、科管部审核</w:t>
      </w:r>
      <w:r>
        <w:rPr>
          <w:rFonts w:hint="eastAsia"/>
          <w:b/>
          <w:bCs/>
          <w:lang w:val="en-US" w:eastAsia="zh-CN"/>
        </w:rPr>
        <w:t>(科管部审核通过后在科研系统生成项目)</w:t>
      </w:r>
      <w:r>
        <w:rPr>
          <w:rFonts w:hint="eastAsia"/>
        </w:rPr>
        <w:t>——5、财务预算审批——立项完成。</w:t>
      </w:r>
    </w:p>
    <w:p>
      <w:pPr>
        <w:numPr>
          <w:ilvl w:val="0"/>
          <w:numId w:val="0"/>
        </w:numPr>
        <w:rPr>
          <w:rFonts w:hint="eastAsia"/>
        </w:rPr>
      </w:pPr>
    </w:p>
    <w:p>
      <w:pPr>
        <w:numPr>
          <w:ilvl w:val="0"/>
          <w:numId w:val="0"/>
        </w:numPr>
        <w:rPr>
          <w:rFonts w:hint="eastAsia"/>
          <w:lang w:val="en-US" w:eastAsia="zh-CN"/>
        </w:rPr>
      </w:pPr>
      <w:r>
        <w:rPr>
          <w:rFonts w:hint="eastAsia"/>
          <w:lang w:val="en-US" w:eastAsia="zh-CN"/>
        </w:rPr>
        <w:t>实际操作过程中是在第一次经费认领后才填写财务预算，因此在经费认领流程结束后系统给财务人员发消息，财务人员是点这条消息链接到立项流程上去填写财务预算信息结束立项流程的。</w:t>
      </w:r>
    </w:p>
    <w:p>
      <w:pPr>
        <w:numPr>
          <w:ilvl w:val="0"/>
          <w:numId w:val="0"/>
        </w:numPr>
        <w:rPr>
          <w:rFonts w:hint="default"/>
          <w:lang w:val="en-US" w:eastAsia="zh-CN"/>
        </w:rPr>
      </w:pPr>
      <w:r>
        <w:drawing>
          <wp:inline distT="0" distB="0" distL="114300" distR="114300">
            <wp:extent cx="5273040" cy="2044065"/>
            <wp:effectExtent l="0" t="0" r="3810" b="13335"/>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14"/>
                    <a:stretch>
                      <a:fillRect/>
                    </a:stretch>
                  </pic:blipFill>
                  <pic:spPr>
                    <a:xfrm>
                      <a:off x="0" y="0"/>
                      <a:ext cx="5273040" cy="2044065"/>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7" w:name="_Toc25639"/>
      <w:r>
        <w:rPr>
          <w:rFonts w:hint="eastAsia" w:ascii="宋体" w:hAnsi="宋体" w:eastAsia="宋体"/>
          <w:sz w:val="28"/>
          <w:szCs w:val="28"/>
          <w:lang w:val="en-US" w:eastAsia="zh-CN"/>
        </w:rPr>
        <w:t>纵向</w:t>
      </w:r>
      <w:r>
        <w:rPr>
          <w:rFonts w:hint="eastAsia" w:ascii="宋体" w:hAnsi="宋体" w:eastAsia="宋体"/>
          <w:sz w:val="28"/>
          <w:szCs w:val="28"/>
        </w:rPr>
        <w:t>项目立项审核</w:t>
      </w:r>
      <w:bookmarkEnd w:id="17"/>
    </w:p>
    <w:p>
      <w:pPr>
        <w:rPr>
          <w:rFonts w:hint="eastAsia"/>
        </w:rPr>
      </w:pPr>
      <w:r>
        <w:rPr>
          <w:rFonts w:hint="eastAsia"/>
        </w:rPr>
        <w:t>第一步：选择财务预算模板</w:t>
      </w:r>
    </w:p>
    <w:p>
      <w:pPr>
        <w:rPr>
          <w:rFonts w:hint="eastAsia"/>
          <w:lang w:val="en-US" w:eastAsia="zh-CN"/>
        </w:rPr>
      </w:pPr>
      <w:r>
        <w:rPr>
          <w:rFonts w:hint="eastAsia"/>
          <w:lang w:val="en-US" w:eastAsia="zh-CN"/>
        </w:rPr>
        <w:t>系统根据项目信息与财务预算模板的对应关系加载出当前项目可以使用的财务预算模板，可能是一个或多个财力模板，财务人员选择要使用的财务模板。</w:t>
      </w:r>
    </w:p>
    <w:p>
      <w:pPr>
        <w:rPr>
          <w:rFonts w:hint="default"/>
          <w:lang w:val="en-US" w:eastAsia="zh-CN"/>
        </w:rPr>
      </w:pPr>
      <w:r>
        <w:rPr>
          <w:rFonts w:hint="eastAsia"/>
          <w:lang w:val="en-US" w:eastAsia="zh-CN"/>
        </w:rPr>
        <w:t>此时，如果没有财务模板可选，就要参考本文第4部分的设置方式先设置财务预算模板。</w:t>
      </w:r>
    </w:p>
    <w:p/>
    <w:p/>
    <w:p>
      <w:pPr>
        <w:rPr>
          <w:rFonts w:hint="default"/>
          <w:lang w:val="en-US" w:eastAsia="zh-CN"/>
        </w:rPr>
      </w:pPr>
      <w:r>
        <w:rPr>
          <w:rFonts w:hint="eastAsia"/>
        </w:rPr>
        <w:t>第二步：财务模板上会根据科研预算带出对应的财务预算金额</w:t>
      </w:r>
      <w:r>
        <w:rPr>
          <w:rFonts w:hint="eastAsia"/>
          <w:lang w:eastAsia="zh-CN"/>
        </w:rPr>
        <w:t>，</w:t>
      </w:r>
      <w:r>
        <w:rPr>
          <w:rFonts w:hint="eastAsia"/>
          <w:lang w:val="en-US" w:eastAsia="zh-CN"/>
        </w:rPr>
        <w:t>财务人员在此能看到发起人填写的科研预算情况，系统并非能自动带出全部的财务预算金额，因此财务人员要在此处点击</w:t>
      </w:r>
      <w:r>
        <w:rPr>
          <w:rFonts w:hint="eastAsia"/>
        </w:rPr>
        <w:t>编辑</w:t>
      </w:r>
      <w:r>
        <w:rPr>
          <w:rFonts w:hint="eastAsia"/>
          <w:lang w:val="en-US" w:eastAsia="zh-CN"/>
        </w:rPr>
        <w:t>按钮来</w:t>
      </w:r>
      <w:r>
        <w:rPr>
          <w:rFonts w:hint="eastAsia"/>
        </w:rPr>
        <w:t>编辑财务预算信息后点确定</w:t>
      </w:r>
      <w:r>
        <w:rPr>
          <w:rFonts w:hint="eastAsia"/>
          <w:lang w:eastAsia="zh-CN"/>
        </w:rPr>
        <w:t>。</w:t>
      </w:r>
    </w:p>
    <w:p>
      <w:r>
        <w:drawing>
          <wp:inline distT="0" distB="0" distL="114300" distR="114300">
            <wp:extent cx="5264150" cy="2851150"/>
            <wp:effectExtent l="9525" t="9525" r="22225" b="15875"/>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15"/>
                    <a:stretch>
                      <a:fillRect/>
                    </a:stretch>
                  </pic:blipFill>
                  <pic:spPr>
                    <a:xfrm>
                      <a:off x="0" y="0"/>
                      <a:ext cx="5264150" cy="2851150"/>
                    </a:xfrm>
                    <a:prstGeom prst="rect">
                      <a:avLst/>
                    </a:prstGeom>
                    <a:noFill/>
                    <a:ln>
                      <a:solidFill>
                        <a:srgbClr val="0000FF"/>
                      </a:solidFill>
                    </a:ln>
                  </pic:spPr>
                </pic:pic>
              </a:graphicData>
            </a:graphic>
          </wp:inline>
        </w:drawing>
      </w:r>
      <w:r>
        <w:drawing>
          <wp:inline distT="0" distB="0" distL="0" distR="0">
            <wp:extent cx="5210810" cy="2715260"/>
            <wp:effectExtent l="19050" t="19050" r="27940" b="279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5212206" cy="2715919"/>
                    </a:xfrm>
                    <a:prstGeom prst="rect">
                      <a:avLst/>
                    </a:prstGeom>
                    <a:ln>
                      <a:solidFill>
                        <a:schemeClr val="accent1"/>
                      </a:solidFill>
                    </a:ln>
                  </pic:spPr>
                </pic:pic>
              </a:graphicData>
            </a:graphic>
          </wp:inline>
        </w:drawing>
      </w:r>
    </w:p>
    <w:p>
      <w:pPr>
        <w:rPr>
          <w:rFonts w:hint="eastAsia"/>
        </w:rPr>
      </w:pPr>
      <w:r>
        <w:rPr>
          <w:rFonts w:hint="eastAsia"/>
        </w:rPr>
        <w:t>第三步：</w:t>
      </w:r>
      <w:r>
        <w:rPr>
          <w:rFonts w:hint="eastAsia"/>
          <w:lang w:val="en-US" w:eastAsia="zh-CN"/>
        </w:rPr>
        <w:t>此时填写好了财务预算信息，</w:t>
      </w:r>
      <w:r>
        <w:rPr>
          <w:rFonts w:hint="eastAsia"/>
        </w:rPr>
        <w:t>点表单右下角的同意按钮</w:t>
      </w:r>
      <w:r>
        <w:rPr>
          <w:rFonts w:hint="eastAsia"/>
          <w:lang w:val="en-US" w:eastAsia="zh-CN"/>
        </w:rPr>
        <w:t>把流程提交到下一步</w:t>
      </w:r>
      <w:r>
        <w:rPr>
          <w:rFonts w:hint="eastAsia"/>
        </w:rPr>
        <w:t>，提交之后立项流程结束。</w:t>
      </w:r>
    </w:p>
    <w:p>
      <w:pPr>
        <w:rPr>
          <w:rFonts w:hint="eastAsia"/>
        </w:rPr>
      </w:pPr>
    </w:p>
    <w:p>
      <w:pPr>
        <w:rPr>
          <w:rFonts w:hint="default"/>
          <w:lang w:val="en-US" w:eastAsia="zh-CN"/>
        </w:rPr>
      </w:pPr>
      <w:r>
        <w:rPr>
          <w:rFonts w:hint="eastAsia"/>
          <w:lang w:val="en-US" w:eastAsia="zh-CN"/>
        </w:rPr>
        <w:t>如果财务人员填写的财务预算信息还要交给项目负责人确认，就把财务预算信息下方的“需要发起人确认”选择“是”，然后点“同意”就会提交给发起人：</w:t>
      </w:r>
    </w:p>
    <w:p>
      <w:pPr>
        <w:jc w:val="center"/>
        <w:rPr>
          <w:rFonts w:hint="default"/>
          <w:lang w:val="en-US" w:eastAsia="zh-CN"/>
        </w:rPr>
      </w:pPr>
      <w:r>
        <w:drawing>
          <wp:inline distT="0" distB="0" distL="114300" distR="114300">
            <wp:extent cx="3105150" cy="561975"/>
            <wp:effectExtent l="9525" t="9525" r="9525" b="1905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7"/>
                    <a:stretch>
                      <a:fillRect/>
                    </a:stretch>
                  </pic:blipFill>
                  <pic:spPr>
                    <a:xfrm>
                      <a:off x="0" y="0"/>
                      <a:ext cx="3105150" cy="561975"/>
                    </a:xfrm>
                    <a:prstGeom prst="rect">
                      <a:avLst/>
                    </a:prstGeom>
                    <a:noFill/>
                    <a:ln>
                      <a:solidFill>
                        <a:srgbClr val="0000FF"/>
                      </a:solidFill>
                    </a:ln>
                  </pic:spPr>
                </pic:pic>
              </a:graphicData>
            </a:graphic>
          </wp:inline>
        </w:drawing>
      </w:r>
    </w:p>
    <w:p>
      <w:pPr>
        <w:pStyle w:val="2"/>
        <w:numPr>
          <w:ilvl w:val="0"/>
          <w:numId w:val="2"/>
        </w:numPr>
      </w:pPr>
      <w:bookmarkStart w:id="18" w:name="_Toc1475"/>
      <w:r>
        <w:rPr>
          <w:rFonts w:hint="eastAsia"/>
          <w:lang w:val="en-US" w:eastAsia="zh-CN"/>
        </w:rPr>
        <w:t>纵向</w:t>
      </w:r>
      <w:r>
        <w:rPr>
          <w:rFonts w:hint="eastAsia"/>
        </w:rPr>
        <w:t>项目变更</w:t>
      </w:r>
      <w:bookmarkEnd w:id="18"/>
    </w:p>
    <w:p>
      <w:r>
        <w:rPr>
          <w:rFonts w:hint="eastAsia"/>
        </w:rPr>
        <w:t>项目变更在科研系统中的流程是：</w:t>
      </w:r>
    </w:p>
    <w:p>
      <w:r>
        <w:rPr>
          <w:rFonts w:hint="eastAsia"/>
        </w:rPr>
        <w:t>1、老师发起项目变更——2、院系科研秘书审核——3、院系科研领导审核——4、科管部审核——5、财务预算审批（如果没有预算变更则不经过财务环节）——变更完成。</w:t>
      </w:r>
    </w:p>
    <w:p>
      <w:pPr>
        <w:pStyle w:val="3"/>
        <w:numPr>
          <w:ilvl w:val="1"/>
          <w:numId w:val="2"/>
        </w:numPr>
        <w:spacing w:after="0" w:line="413" w:lineRule="auto"/>
        <w:ind w:left="578" w:hanging="578"/>
        <w:rPr>
          <w:rFonts w:ascii="宋体" w:hAnsi="宋体" w:eastAsia="宋体"/>
          <w:sz w:val="28"/>
          <w:szCs w:val="28"/>
        </w:rPr>
      </w:pPr>
      <w:bookmarkStart w:id="19" w:name="_Toc8837"/>
      <w:r>
        <w:rPr>
          <w:rFonts w:hint="eastAsia" w:ascii="宋体" w:hAnsi="宋体" w:eastAsia="宋体"/>
          <w:sz w:val="28"/>
          <w:szCs w:val="28"/>
          <w:lang w:val="en-US" w:eastAsia="zh-CN"/>
        </w:rPr>
        <w:t>纵向</w:t>
      </w:r>
      <w:r>
        <w:rPr>
          <w:rFonts w:hint="eastAsia" w:ascii="宋体" w:hAnsi="宋体" w:eastAsia="宋体"/>
          <w:sz w:val="28"/>
          <w:szCs w:val="28"/>
        </w:rPr>
        <w:t>项目变更审核</w:t>
      </w:r>
      <w:bookmarkEnd w:id="19"/>
    </w:p>
    <w:p>
      <w:r>
        <w:rPr>
          <w:rFonts w:hint="eastAsia"/>
        </w:rPr>
        <w:t>如果预算信息有变更流程会到财务环节；如果预算没变更则不经过财务环节。</w:t>
      </w:r>
    </w:p>
    <w:p>
      <w:pPr>
        <w:rPr>
          <w:rFonts w:hint="default"/>
          <w:lang w:val="en-US" w:eastAsia="zh-CN"/>
        </w:rPr>
      </w:pPr>
      <w:r>
        <w:rPr>
          <w:rFonts w:hint="eastAsia"/>
        </w:rPr>
        <w:t>变更审核</w:t>
      </w:r>
      <w:r>
        <w:rPr>
          <w:rFonts w:hint="eastAsia"/>
          <w:lang w:val="en-US" w:eastAsia="zh-CN"/>
        </w:rPr>
        <w:t>流转</w:t>
      </w:r>
      <w:r>
        <w:rPr>
          <w:rFonts w:hint="eastAsia"/>
        </w:rPr>
        <w:t>到财务环节后，财务人员可以编辑财务预算</w:t>
      </w:r>
      <w:r>
        <w:rPr>
          <w:rFonts w:hint="eastAsia"/>
          <w:lang w:val="en-US" w:eastAsia="zh-CN"/>
        </w:rPr>
        <w:t>信息</w:t>
      </w:r>
      <w:r>
        <w:rPr>
          <w:rFonts w:hint="eastAsia"/>
        </w:rPr>
        <w:t>。</w:t>
      </w:r>
    </w:p>
    <w:p>
      <w:pPr>
        <w:jc w:val="left"/>
      </w:pPr>
      <w:r>
        <w:drawing>
          <wp:inline distT="0" distB="0" distL="0" distR="0">
            <wp:extent cx="5274310" cy="4239260"/>
            <wp:effectExtent l="0" t="0" r="254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stretch>
                      <a:fillRect/>
                    </a:stretch>
                  </pic:blipFill>
                  <pic:spPr>
                    <a:xfrm>
                      <a:off x="0" y="0"/>
                      <a:ext cx="5274310" cy="4239260"/>
                    </a:xfrm>
                    <a:prstGeom prst="rect">
                      <a:avLst/>
                    </a:prstGeom>
                  </pic:spPr>
                </pic:pic>
              </a:graphicData>
            </a:graphic>
          </wp:inline>
        </w:drawing>
      </w:r>
    </w:p>
    <w:p>
      <w:pPr>
        <w:pStyle w:val="2"/>
        <w:numPr>
          <w:ilvl w:val="0"/>
          <w:numId w:val="2"/>
        </w:numPr>
      </w:pPr>
      <w:bookmarkStart w:id="20" w:name="_Toc17392"/>
      <w:r>
        <w:rPr>
          <w:rFonts w:hint="eastAsia"/>
        </w:rPr>
        <w:t>经费认领</w:t>
      </w:r>
      <w:bookmarkEnd w:id="20"/>
    </w:p>
    <w:p>
      <w:r>
        <w:rPr>
          <w:rFonts w:hint="eastAsia"/>
          <w:lang w:val="en-US" w:eastAsia="zh-CN"/>
        </w:rPr>
        <w:t>横向纵向</w:t>
      </w:r>
      <w:r>
        <w:rPr>
          <w:rFonts w:hint="eastAsia"/>
        </w:rPr>
        <w:t>经费认领</w:t>
      </w:r>
      <w:r>
        <w:rPr>
          <w:rFonts w:hint="eastAsia"/>
          <w:lang w:val="en-US" w:eastAsia="zh-CN"/>
        </w:rPr>
        <w:t>流程</w:t>
      </w:r>
      <w:r>
        <w:rPr>
          <w:rFonts w:hint="eastAsia"/>
        </w:rPr>
        <w:t>在科研系统中的流程</w:t>
      </w:r>
      <w:r>
        <w:rPr>
          <w:rFonts w:hint="eastAsia"/>
          <w:lang w:val="en-US" w:eastAsia="zh-CN"/>
        </w:rPr>
        <w:t>都</w:t>
      </w:r>
      <w:r>
        <w:rPr>
          <w:rFonts w:hint="eastAsia"/>
        </w:rPr>
        <w:t>是：</w:t>
      </w:r>
    </w:p>
    <w:p>
      <w:pPr>
        <w:numPr>
          <w:ilvl w:val="0"/>
          <w:numId w:val="5"/>
        </w:numPr>
        <w:jc w:val="center"/>
      </w:pPr>
      <w:r>
        <w:rPr>
          <w:rFonts w:hint="eastAsia"/>
        </w:rPr>
        <w:t>老师发起认领流程——2、经费业务主管审核——3、财务审核——认领流程完成。</w:t>
      </w:r>
      <w:r>
        <w:drawing>
          <wp:inline distT="0" distB="0" distL="114300" distR="114300">
            <wp:extent cx="5260340" cy="3129280"/>
            <wp:effectExtent l="9525" t="9525" r="26035" b="2349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a:stretch>
                      <a:fillRect/>
                    </a:stretch>
                  </pic:blipFill>
                  <pic:spPr>
                    <a:xfrm>
                      <a:off x="0" y="0"/>
                      <a:ext cx="5260340" cy="3129280"/>
                    </a:xfrm>
                    <a:prstGeom prst="rect">
                      <a:avLst/>
                    </a:prstGeom>
                    <a:noFill/>
                    <a:ln>
                      <a:solidFill>
                        <a:srgbClr val="0000FF"/>
                      </a:solidFill>
                    </a:ln>
                  </pic:spPr>
                </pic:pic>
              </a:graphicData>
            </a:graphic>
          </wp:inline>
        </w:drawing>
      </w:r>
    </w:p>
    <w:p>
      <w:pPr>
        <w:numPr>
          <w:ilvl w:val="0"/>
          <w:numId w:val="0"/>
        </w:numPr>
        <w:jc w:val="both"/>
      </w:pPr>
      <w:r>
        <w:drawing>
          <wp:inline distT="0" distB="0" distL="114300" distR="114300">
            <wp:extent cx="5266690" cy="3145155"/>
            <wp:effectExtent l="9525" t="9525" r="19685" b="2667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20"/>
                    <a:stretch>
                      <a:fillRect/>
                    </a:stretch>
                  </pic:blipFill>
                  <pic:spPr>
                    <a:xfrm>
                      <a:off x="0" y="0"/>
                      <a:ext cx="5266690" cy="3145155"/>
                    </a:xfrm>
                    <a:prstGeom prst="rect">
                      <a:avLst/>
                    </a:prstGeom>
                    <a:noFill/>
                    <a:ln>
                      <a:solidFill>
                        <a:srgbClr val="0000FF"/>
                      </a:solidFill>
                    </a:ln>
                  </pic:spPr>
                </pic:pic>
              </a:graphicData>
            </a:graphic>
          </wp:inline>
        </w:drawing>
      </w:r>
    </w:p>
    <w:p>
      <w:pPr>
        <w:pStyle w:val="2"/>
        <w:numPr>
          <w:ilvl w:val="0"/>
          <w:numId w:val="2"/>
        </w:numPr>
      </w:pPr>
      <w:bookmarkStart w:id="21" w:name="_Toc17222"/>
      <w:r>
        <w:rPr>
          <w:rFonts w:hint="eastAsia"/>
        </w:rPr>
        <w:t>项目结账</w:t>
      </w:r>
      <w:bookmarkEnd w:id="21"/>
    </w:p>
    <w:p>
      <w:r>
        <w:rPr>
          <w:rFonts w:hint="eastAsia"/>
          <w:lang w:val="en-US" w:eastAsia="zh-CN"/>
        </w:rPr>
        <w:t>横纵向</w:t>
      </w:r>
      <w:r>
        <w:rPr>
          <w:rFonts w:hint="eastAsia"/>
        </w:rPr>
        <w:t>项目结账在科研系统中的流程</w:t>
      </w:r>
      <w:r>
        <w:rPr>
          <w:rFonts w:hint="eastAsia"/>
          <w:lang w:val="en-US" w:eastAsia="zh-CN"/>
        </w:rPr>
        <w:t>都</w:t>
      </w:r>
      <w:r>
        <w:rPr>
          <w:rFonts w:hint="eastAsia"/>
        </w:rPr>
        <w:t>是：</w:t>
      </w:r>
    </w:p>
    <w:p>
      <w:pPr>
        <w:numPr>
          <w:ilvl w:val="0"/>
          <w:numId w:val="6"/>
        </w:numPr>
        <w:jc w:val="left"/>
        <w:rPr>
          <w:rFonts w:hint="eastAsia"/>
        </w:rPr>
      </w:pPr>
      <w:r>
        <w:rPr>
          <w:rFonts w:hint="eastAsia"/>
        </w:rPr>
        <w:t>老师发起结账流程——2、院系科研秘书审核——3、院系科研领导审核——</w:t>
      </w:r>
      <w:r>
        <w:t>4</w:t>
      </w:r>
      <w:r>
        <w:rPr>
          <w:rFonts w:hint="eastAsia"/>
        </w:rPr>
        <w:t>、财务审核——结账流程完成。</w:t>
      </w:r>
    </w:p>
    <w:p>
      <w:pPr>
        <w:numPr>
          <w:ilvl w:val="0"/>
          <w:numId w:val="0"/>
        </w:numPr>
        <w:jc w:val="center"/>
      </w:pPr>
      <w:r>
        <w:drawing>
          <wp:inline distT="0" distB="0" distL="114300" distR="114300">
            <wp:extent cx="5259070" cy="3131185"/>
            <wp:effectExtent l="9525" t="9525" r="27305" b="2159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1"/>
                    <a:stretch>
                      <a:fillRect/>
                    </a:stretch>
                  </pic:blipFill>
                  <pic:spPr>
                    <a:xfrm>
                      <a:off x="0" y="0"/>
                      <a:ext cx="5259070" cy="3131185"/>
                    </a:xfrm>
                    <a:prstGeom prst="rect">
                      <a:avLst/>
                    </a:prstGeom>
                    <a:noFill/>
                    <a:ln>
                      <a:solidFill>
                        <a:srgbClr val="0000FF"/>
                      </a:solidFill>
                    </a:ln>
                  </pic:spPr>
                </pic:pic>
              </a:graphicData>
            </a:graphic>
          </wp:inline>
        </w:drawing>
      </w:r>
    </w:p>
    <w:p>
      <w:pPr>
        <w:numPr>
          <w:ilvl w:val="0"/>
          <w:numId w:val="0"/>
        </w:numPr>
        <w:jc w:val="center"/>
      </w:pPr>
      <w:r>
        <w:drawing>
          <wp:inline distT="0" distB="0" distL="114300" distR="114300">
            <wp:extent cx="5269230" cy="3131185"/>
            <wp:effectExtent l="9525" t="9525" r="17145" b="2159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22"/>
                    <a:stretch>
                      <a:fillRect/>
                    </a:stretch>
                  </pic:blipFill>
                  <pic:spPr>
                    <a:xfrm>
                      <a:off x="0" y="0"/>
                      <a:ext cx="5269230" cy="3131185"/>
                    </a:xfrm>
                    <a:prstGeom prst="rect">
                      <a:avLst/>
                    </a:prstGeom>
                    <a:noFill/>
                    <a:ln>
                      <a:solidFill>
                        <a:srgbClr val="0000FF"/>
                      </a:solidFill>
                    </a:ln>
                  </pic:spPr>
                </pic:pic>
              </a:graphicData>
            </a:graphic>
          </wp:inline>
        </w:drawing>
      </w:r>
    </w:p>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single" w:color="auto" w:sz="6" w:space="8"/>
      </w:pBdr>
      <w:jc w:val="right"/>
    </w:pPr>
    <w:r>
      <w:rPr>
        <w:rFonts w:hint="eastAsia" w:ascii="Verdana" w:hAnsi="Verdana"/>
        <w:b/>
        <w:sz w:val="20"/>
      </w:rPr>
      <w:t>操作手册</w:t>
    </w:r>
    <w:r>
      <w:rPr>
        <w:rFonts w:ascii="Verdana" w:hAnsi="Verdana"/>
        <w:b/>
        <w:sz w:val="20"/>
      </w:rPr>
      <w:t xml:space="preserve">                                                           </w:t>
    </w:r>
    <w:r>
      <w:drawing>
        <wp:inline distT="0" distB="0" distL="0" distR="0">
          <wp:extent cx="981075" cy="2514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
                  <a:stretch>
                    <a:fillRect/>
                  </a:stretch>
                </pic:blipFill>
                <pic:spPr>
                  <a:xfrm>
                    <a:off x="0" y="0"/>
                    <a:ext cx="981566" cy="25200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8E142C6"/>
    <w:multiLevelType w:val="singleLevel"/>
    <w:tmpl w:val="A8E142C6"/>
    <w:lvl w:ilvl="0" w:tentative="0">
      <w:start w:val="1"/>
      <w:numFmt w:val="decimal"/>
      <w:suff w:val="nothing"/>
      <w:lvlText w:val="%1、"/>
      <w:lvlJc w:val="left"/>
    </w:lvl>
  </w:abstractNum>
  <w:abstractNum w:abstractNumId="1">
    <w:nsid w:val="AC37BEB1"/>
    <w:multiLevelType w:val="singleLevel"/>
    <w:tmpl w:val="AC37BEB1"/>
    <w:lvl w:ilvl="0" w:tentative="0">
      <w:start w:val="1"/>
      <w:numFmt w:val="decimal"/>
      <w:suff w:val="nothing"/>
      <w:lvlText w:val="%1、"/>
      <w:lvlJc w:val="left"/>
    </w:lvl>
  </w:abstractNum>
  <w:abstractNum w:abstractNumId="2">
    <w:nsid w:val="00000007"/>
    <w:multiLevelType w:val="multilevel"/>
    <w:tmpl w:val="00000007"/>
    <w:lvl w:ilvl="0" w:tentative="0">
      <w:start w:val="1"/>
      <w:numFmt w:val="decimal"/>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3">
    <w:nsid w:val="0000000D"/>
    <w:multiLevelType w:val="multilevel"/>
    <w:tmpl w:val="0000000D"/>
    <w:lvl w:ilvl="0" w:tentative="0">
      <w:start w:val="1"/>
      <w:numFmt w:val="bullet"/>
      <w:pStyle w:val="2"/>
      <w:lvlText w:val=""/>
      <w:lvlJc w:val="left"/>
      <w:pPr>
        <w:tabs>
          <w:tab w:val="left" w:pos="855"/>
        </w:tabs>
        <w:ind w:left="855" w:hanging="420"/>
      </w:pPr>
      <w:rPr>
        <w:rFonts w:hint="default" w:ascii="Wingdings" w:hAnsi="Wingdings"/>
      </w:rPr>
    </w:lvl>
    <w:lvl w:ilvl="1" w:tentative="0">
      <w:start w:val="1"/>
      <w:numFmt w:val="bullet"/>
      <w:pStyle w:val="3"/>
      <w:lvlText w:val=""/>
      <w:lvlJc w:val="left"/>
      <w:pPr>
        <w:tabs>
          <w:tab w:val="left" w:pos="1275"/>
        </w:tabs>
        <w:ind w:left="1275" w:hanging="420"/>
      </w:pPr>
      <w:rPr>
        <w:rFonts w:hint="default" w:ascii="Wingdings" w:hAnsi="Wingdings"/>
      </w:rPr>
    </w:lvl>
    <w:lvl w:ilvl="2" w:tentative="0">
      <w:start w:val="1"/>
      <w:numFmt w:val="bullet"/>
      <w:pStyle w:val="4"/>
      <w:lvlText w:val=""/>
      <w:lvlJc w:val="left"/>
      <w:pPr>
        <w:tabs>
          <w:tab w:val="left" w:pos="1695"/>
        </w:tabs>
        <w:ind w:left="1695" w:hanging="420"/>
      </w:pPr>
      <w:rPr>
        <w:rFonts w:hint="default" w:ascii="Wingdings" w:hAnsi="Wingdings"/>
      </w:rPr>
    </w:lvl>
    <w:lvl w:ilvl="3" w:tentative="0">
      <w:start w:val="1"/>
      <w:numFmt w:val="bullet"/>
      <w:lvlText w:val=""/>
      <w:lvlJc w:val="left"/>
      <w:pPr>
        <w:tabs>
          <w:tab w:val="left" w:pos="2115"/>
        </w:tabs>
        <w:ind w:left="2115" w:hanging="420"/>
      </w:pPr>
      <w:rPr>
        <w:rFonts w:hint="default" w:ascii="Wingdings" w:hAnsi="Wingdings"/>
      </w:rPr>
    </w:lvl>
    <w:lvl w:ilvl="4" w:tentative="0">
      <w:start w:val="1"/>
      <w:numFmt w:val="bullet"/>
      <w:lvlText w:val=""/>
      <w:lvlJc w:val="left"/>
      <w:pPr>
        <w:tabs>
          <w:tab w:val="left" w:pos="2535"/>
        </w:tabs>
        <w:ind w:left="2535" w:hanging="420"/>
      </w:pPr>
      <w:rPr>
        <w:rFonts w:hint="default" w:ascii="Wingdings" w:hAnsi="Wingdings"/>
      </w:rPr>
    </w:lvl>
    <w:lvl w:ilvl="5" w:tentative="0">
      <w:start w:val="1"/>
      <w:numFmt w:val="bullet"/>
      <w:lvlText w:val=""/>
      <w:lvlJc w:val="left"/>
      <w:pPr>
        <w:tabs>
          <w:tab w:val="left" w:pos="2955"/>
        </w:tabs>
        <w:ind w:left="2955" w:hanging="420"/>
      </w:pPr>
      <w:rPr>
        <w:rFonts w:hint="default" w:ascii="Wingdings" w:hAnsi="Wingdings"/>
      </w:rPr>
    </w:lvl>
    <w:lvl w:ilvl="6" w:tentative="0">
      <w:start w:val="1"/>
      <w:numFmt w:val="bullet"/>
      <w:lvlText w:val=""/>
      <w:lvlJc w:val="left"/>
      <w:pPr>
        <w:tabs>
          <w:tab w:val="left" w:pos="3375"/>
        </w:tabs>
        <w:ind w:left="3375" w:hanging="420"/>
      </w:pPr>
      <w:rPr>
        <w:rFonts w:hint="default" w:ascii="Wingdings" w:hAnsi="Wingdings"/>
      </w:rPr>
    </w:lvl>
    <w:lvl w:ilvl="7" w:tentative="0">
      <w:start w:val="1"/>
      <w:numFmt w:val="bullet"/>
      <w:lvlText w:val=""/>
      <w:lvlJc w:val="left"/>
      <w:pPr>
        <w:tabs>
          <w:tab w:val="left" w:pos="3795"/>
        </w:tabs>
        <w:ind w:left="3795" w:hanging="420"/>
      </w:pPr>
      <w:rPr>
        <w:rFonts w:hint="default" w:ascii="Wingdings" w:hAnsi="Wingdings"/>
      </w:rPr>
    </w:lvl>
    <w:lvl w:ilvl="8" w:tentative="0">
      <w:start w:val="1"/>
      <w:numFmt w:val="bullet"/>
      <w:lvlText w:val=""/>
      <w:lvlJc w:val="left"/>
      <w:pPr>
        <w:tabs>
          <w:tab w:val="left" w:pos="4215"/>
        </w:tabs>
        <w:ind w:left="4215" w:hanging="420"/>
      </w:pPr>
      <w:rPr>
        <w:rFonts w:hint="default" w:ascii="Wingdings" w:hAnsi="Wingdings"/>
      </w:rPr>
    </w:lvl>
  </w:abstractNum>
  <w:abstractNum w:abstractNumId="4">
    <w:nsid w:val="6AD41D84"/>
    <w:multiLevelType w:val="singleLevel"/>
    <w:tmpl w:val="6AD41D84"/>
    <w:lvl w:ilvl="0" w:tentative="0">
      <w:start w:val="1"/>
      <w:numFmt w:val="decimal"/>
      <w:suff w:val="nothing"/>
      <w:lvlText w:val="%1、"/>
      <w:lvlJc w:val="left"/>
    </w:lvl>
  </w:abstractNum>
  <w:num w:numId="1">
    <w:abstractNumId w:val="3"/>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M4OGI4YTkzOTdkZmE2ZDFkZjk3YzY5NmM4NzRkZTYifQ=="/>
  </w:docVars>
  <w:rsids>
    <w:rsidRoot w:val="002C45BB"/>
    <w:rsid w:val="000167A6"/>
    <w:rsid w:val="000168D7"/>
    <w:rsid w:val="0003153C"/>
    <w:rsid w:val="00053D03"/>
    <w:rsid w:val="00056736"/>
    <w:rsid w:val="0006323B"/>
    <w:rsid w:val="00073AD8"/>
    <w:rsid w:val="00077570"/>
    <w:rsid w:val="00085C98"/>
    <w:rsid w:val="00087BC0"/>
    <w:rsid w:val="000907AC"/>
    <w:rsid w:val="00091C8B"/>
    <w:rsid w:val="000A1DA4"/>
    <w:rsid w:val="000B2B98"/>
    <w:rsid w:val="000B60D4"/>
    <w:rsid w:val="000C25A1"/>
    <w:rsid w:val="000D41AA"/>
    <w:rsid w:val="000E0296"/>
    <w:rsid w:val="000E3567"/>
    <w:rsid w:val="000F2141"/>
    <w:rsid w:val="0010080E"/>
    <w:rsid w:val="0012133D"/>
    <w:rsid w:val="00131190"/>
    <w:rsid w:val="00132F88"/>
    <w:rsid w:val="001520F0"/>
    <w:rsid w:val="00157640"/>
    <w:rsid w:val="00190FC7"/>
    <w:rsid w:val="001B2402"/>
    <w:rsid w:val="001B2F9F"/>
    <w:rsid w:val="001B3149"/>
    <w:rsid w:val="001B55C7"/>
    <w:rsid w:val="001C79A2"/>
    <w:rsid w:val="001D27C2"/>
    <w:rsid w:val="001D2D6C"/>
    <w:rsid w:val="001D5E70"/>
    <w:rsid w:val="001E4E5E"/>
    <w:rsid w:val="001E576E"/>
    <w:rsid w:val="001F5BB6"/>
    <w:rsid w:val="0020458A"/>
    <w:rsid w:val="00211E7A"/>
    <w:rsid w:val="00220858"/>
    <w:rsid w:val="00224D02"/>
    <w:rsid w:val="002273C2"/>
    <w:rsid w:val="0025430D"/>
    <w:rsid w:val="002603AF"/>
    <w:rsid w:val="00266EE5"/>
    <w:rsid w:val="00267EAF"/>
    <w:rsid w:val="002773A9"/>
    <w:rsid w:val="002806B1"/>
    <w:rsid w:val="00285854"/>
    <w:rsid w:val="00297F65"/>
    <w:rsid w:val="002A6993"/>
    <w:rsid w:val="002A6EF8"/>
    <w:rsid w:val="002B67F3"/>
    <w:rsid w:val="002C45BB"/>
    <w:rsid w:val="002D2E51"/>
    <w:rsid w:val="002F76FC"/>
    <w:rsid w:val="0030224B"/>
    <w:rsid w:val="00305714"/>
    <w:rsid w:val="003057C9"/>
    <w:rsid w:val="00316CA5"/>
    <w:rsid w:val="00324404"/>
    <w:rsid w:val="00331484"/>
    <w:rsid w:val="003342FA"/>
    <w:rsid w:val="00357798"/>
    <w:rsid w:val="003631D2"/>
    <w:rsid w:val="00372C33"/>
    <w:rsid w:val="00380AEE"/>
    <w:rsid w:val="003812FA"/>
    <w:rsid w:val="00392B69"/>
    <w:rsid w:val="003A2B37"/>
    <w:rsid w:val="003A3C91"/>
    <w:rsid w:val="003A5FB7"/>
    <w:rsid w:val="003B1FFE"/>
    <w:rsid w:val="003B20A2"/>
    <w:rsid w:val="003C1B6A"/>
    <w:rsid w:val="003D073C"/>
    <w:rsid w:val="003D257D"/>
    <w:rsid w:val="003D25D3"/>
    <w:rsid w:val="003D7B42"/>
    <w:rsid w:val="003E733D"/>
    <w:rsid w:val="00401412"/>
    <w:rsid w:val="00401AD9"/>
    <w:rsid w:val="00411907"/>
    <w:rsid w:val="00414E29"/>
    <w:rsid w:val="00417D05"/>
    <w:rsid w:val="004251C9"/>
    <w:rsid w:val="004275DC"/>
    <w:rsid w:val="00432282"/>
    <w:rsid w:val="004403FA"/>
    <w:rsid w:val="00446A1B"/>
    <w:rsid w:val="0045386B"/>
    <w:rsid w:val="00460D67"/>
    <w:rsid w:val="00463541"/>
    <w:rsid w:val="0046426F"/>
    <w:rsid w:val="004856CD"/>
    <w:rsid w:val="00496871"/>
    <w:rsid w:val="004C1C07"/>
    <w:rsid w:val="004F3F77"/>
    <w:rsid w:val="00511F27"/>
    <w:rsid w:val="00524D1B"/>
    <w:rsid w:val="005326C4"/>
    <w:rsid w:val="00544DFB"/>
    <w:rsid w:val="005559DC"/>
    <w:rsid w:val="005623CE"/>
    <w:rsid w:val="00570AA1"/>
    <w:rsid w:val="005755FA"/>
    <w:rsid w:val="005A2DE2"/>
    <w:rsid w:val="005A77BA"/>
    <w:rsid w:val="005C19A8"/>
    <w:rsid w:val="005C51A0"/>
    <w:rsid w:val="005E1588"/>
    <w:rsid w:val="005F2D96"/>
    <w:rsid w:val="005F77D9"/>
    <w:rsid w:val="00616DF0"/>
    <w:rsid w:val="00637139"/>
    <w:rsid w:val="006478AF"/>
    <w:rsid w:val="00683765"/>
    <w:rsid w:val="006A2613"/>
    <w:rsid w:val="006A3D3F"/>
    <w:rsid w:val="006B5E2B"/>
    <w:rsid w:val="006C737B"/>
    <w:rsid w:val="006F06E0"/>
    <w:rsid w:val="006F5467"/>
    <w:rsid w:val="006F6544"/>
    <w:rsid w:val="0072133E"/>
    <w:rsid w:val="00722931"/>
    <w:rsid w:val="00724CC8"/>
    <w:rsid w:val="0073386F"/>
    <w:rsid w:val="007435B1"/>
    <w:rsid w:val="00746C52"/>
    <w:rsid w:val="007547CA"/>
    <w:rsid w:val="00756FE7"/>
    <w:rsid w:val="00760880"/>
    <w:rsid w:val="00767550"/>
    <w:rsid w:val="00771422"/>
    <w:rsid w:val="00790079"/>
    <w:rsid w:val="0079660D"/>
    <w:rsid w:val="00797C31"/>
    <w:rsid w:val="007B15A1"/>
    <w:rsid w:val="007C076F"/>
    <w:rsid w:val="007D116B"/>
    <w:rsid w:val="007E43CD"/>
    <w:rsid w:val="00802887"/>
    <w:rsid w:val="008130FC"/>
    <w:rsid w:val="00816A65"/>
    <w:rsid w:val="00816EBF"/>
    <w:rsid w:val="00821A27"/>
    <w:rsid w:val="00823C32"/>
    <w:rsid w:val="00826157"/>
    <w:rsid w:val="008268AB"/>
    <w:rsid w:val="00837873"/>
    <w:rsid w:val="008435FB"/>
    <w:rsid w:val="00850475"/>
    <w:rsid w:val="00851663"/>
    <w:rsid w:val="0085464E"/>
    <w:rsid w:val="00886E87"/>
    <w:rsid w:val="008915FD"/>
    <w:rsid w:val="008A1BD3"/>
    <w:rsid w:val="008B49A5"/>
    <w:rsid w:val="008C1714"/>
    <w:rsid w:val="008C4878"/>
    <w:rsid w:val="008C5419"/>
    <w:rsid w:val="008F2490"/>
    <w:rsid w:val="008F30E5"/>
    <w:rsid w:val="008F642F"/>
    <w:rsid w:val="009106FC"/>
    <w:rsid w:val="0091631F"/>
    <w:rsid w:val="00922A2E"/>
    <w:rsid w:val="00942AB2"/>
    <w:rsid w:val="00947BF5"/>
    <w:rsid w:val="0096726E"/>
    <w:rsid w:val="00973D9A"/>
    <w:rsid w:val="009838E9"/>
    <w:rsid w:val="00990106"/>
    <w:rsid w:val="009A4C58"/>
    <w:rsid w:val="009D7D3A"/>
    <w:rsid w:val="009E3EDF"/>
    <w:rsid w:val="00A00C58"/>
    <w:rsid w:val="00A06CC2"/>
    <w:rsid w:val="00A06E23"/>
    <w:rsid w:val="00A24749"/>
    <w:rsid w:val="00A338C9"/>
    <w:rsid w:val="00A469F2"/>
    <w:rsid w:val="00A53FD2"/>
    <w:rsid w:val="00A56508"/>
    <w:rsid w:val="00A6335C"/>
    <w:rsid w:val="00A64B95"/>
    <w:rsid w:val="00A661DB"/>
    <w:rsid w:val="00A736B0"/>
    <w:rsid w:val="00A80E82"/>
    <w:rsid w:val="00A87BF4"/>
    <w:rsid w:val="00AC5769"/>
    <w:rsid w:val="00AD14EB"/>
    <w:rsid w:val="00AE78FD"/>
    <w:rsid w:val="00B014F4"/>
    <w:rsid w:val="00B04A4D"/>
    <w:rsid w:val="00B07BAB"/>
    <w:rsid w:val="00B11589"/>
    <w:rsid w:val="00B16B02"/>
    <w:rsid w:val="00B324C7"/>
    <w:rsid w:val="00B3534A"/>
    <w:rsid w:val="00B35F58"/>
    <w:rsid w:val="00B55EBE"/>
    <w:rsid w:val="00B614A4"/>
    <w:rsid w:val="00B658B0"/>
    <w:rsid w:val="00B83122"/>
    <w:rsid w:val="00B85135"/>
    <w:rsid w:val="00B866D3"/>
    <w:rsid w:val="00B87516"/>
    <w:rsid w:val="00B96957"/>
    <w:rsid w:val="00BC11ED"/>
    <w:rsid w:val="00BC4240"/>
    <w:rsid w:val="00BD78FF"/>
    <w:rsid w:val="00BE11F1"/>
    <w:rsid w:val="00BE3E8C"/>
    <w:rsid w:val="00C13696"/>
    <w:rsid w:val="00C14758"/>
    <w:rsid w:val="00C32CD4"/>
    <w:rsid w:val="00C351C0"/>
    <w:rsid w:val="00C35C51"/>
    <w:rsid w:val="00C3658F"/>
    <w:rsid w:val="00C42EAB"/>
    <w:rsid w:val="00C514D2"/>
    <w:rsid w:val="00C549AE"/>
    <w:rsid w:val="00C54F70"/>
    <w:rsid w:val="00C57077"/>
    <w:rsid w:val="00C668A5"/>
    <w:rsid w:val="00C760C7"/>
    <w:rsid w:val="00C86384"/>
    <w:rsid w:val="00C92020"/>
    <w:rsid w:val="00CA49A7"/>
    <w:rsid w:val="00CB0AA1"/>
    <w:rsid w:val="00CB2E2C"/>
    <w:rsid w:val="00CB731D"/>
    <w:rsid w:val="00CC05DB"/>
    <w:rsid w:val="00CC3CCD"/>
    <w:rsid w:val="00CC4890"/>
    <w:rsid w:val="00CC5360"/>
    <w:rsid w:val="00CC58AC"/>
    <w:rsid w:val="00CD1DDB"/>
    <w:rsid w:val="00CD6DA5"/>
    <w:rsid w:val="00CE215C"/>
    <w:rsid w:val="00CE5A62"/>
    <w:rsid w:val="00CF0CB3"/>
    <w:rsid w:val="00D04C04"/>
    <w:rsid w:val="00D1491F"/>
    <w:rsid w:val="00D153BA"/>
    <w:rsid w:val="00D16EB8"/>
    <w:rsid w:val="00D26AAA"/>
    <w:rsid w:val="00D449E7"/>
    <w:rsid w:val="00D47A93"/>
    <w:rsid w:val="00D66CE4"/>
    <w:rsid w:val="00D8139F"/>
    <w:rsid w:val="00D94D53"/>
    <w:rsid w:val="00DB2778"/>
    <w:rsid w:val="00DB307C"/>
    <w:rsid w:val="00DB30D4"/>
    <w:rsid w:val="00DC6CAB"/>
    <w:rsid w:val="00DD09ED"/>
    <w:rsid w:val="00DD6710"/>
    <w:rsid w:val="00DE5009"/>
    <w:rsid w:val="00DE55CA"/>
    <w:rsid w:val="00DF3F05"/>
    <w:rsid w:val="00DF4CBE"/>
    <w:rsid w:val="00E05287"/>
    <w:rsid w:val="00E05446"/>
    <w:rsid w:val="00E05644"/>
    <w:rsid w:val="00E15C90"/>
    <w:rsid w:val="00E3370C"/>
    <w:rsid w:val="00E339B4"/>
    <w:rsid w:val="00E505FC"/>
    <w:rsid w:val="00E519A0"/>
    <w:rsid w:val="00E53518"/>
    <w:rsid w:val="00E53C17"/>
    <w:rsid w:val="00E54231"/>
    <w:rsid w:val="00E6607B"/>
    <w:rsid w:val="00E662DF"/>
    <w:rsid w:val="00E90143"/>
    <w:rsid w:val="00E90BC1"/>
    <w:rsid w:val="00EA30DC"/>
    <w:rsid w:val="00EA4FE8"/>
    <w:rsid w:val="00EA606E"/>
    <w:rsid w:val="00EA6C01"/>
    <w:rsid w:val="00ED108A"/>
    <w:rsid w:val="00ED6711"/>
    <w:rsid w:val="00EE0F73"/>
    <w:rsid w:val="00EE4641"/>
    <w:rsid w:val="00EF6993"/>
    <w:rsid w:val="00F04D74"/>
    <w:rsid w:val="00F051E2"/>
    <w:rsid w:val="00F07476"/>
    <w:rsid w:val="00F102C2"/>
    <w:rsid w:val="00F1241C"/>
    <w:rsid w:val="00F20C6D"/>
    <w:rsid w:val="00F46406"/>
    <w:rsid w:val="00F6029A"/>
    <w:rsid w:val="00F60480"/>
    <w:rsid w:val="00F62B03"/>
    <w:rsid w:val="00F71A7D"/>
    <w:rsid w:val="00F768A0"/>
    <w:rsid w:val="00F80E48"/>
    <w:rsid w:val="00FA2D1D"/>
    <w:rsid w:val="00FA36E4"/>
    <w:rsid w:val="00FB4E03"/>
    <w:rsid w:val="00FB6157"/>
    <w:rsid w:val="00FC6A9F"/>
    <w:rsid w:val="00FC7C49"/>
    <w:rsid w:val="028A337B"/>
    <w:rsid w:val="02B80216"/>
    <w:rsid w:val="02C37C22"/>
    <w:rsid w:val="03A32C74"/>
    <w:rsid w:val="0414503C"/>
    <w:rsid w:val="057228FE"/>
    <w:rsid w:val="05FB0B46"/>
    <w:rsid w:val="06130CB0"/>
    <w:rsid w:val="07FB1D6C"/>
    <w:rsid w:val="084E7652"/>
    <w:rsid w:val="08844303"/>
    <w:rsid w:val="089F0973"/>
    <w:rsid w:val="09276F9E"/>
    <w:rsid w:val="096E40AF"/>
    <w:rsid w:val="0A243623"/>
    <w:rsid w:val="0A2F0DBE"/>
    <w:rsid w:val="0B624851"/>
    <w:rsid w:val="0C497853"/>
    <w:rsid w:val="0E7F447A"/>
    <w:rsid w:val="0EA855E3"/>
    <w:rsid w:val="0F421654"/>
    <w:rsid w:val="0FBF225D"/>
    <w:rsid w:val="0FC4644C"/>
    <w:rsid w:val="13FA297B"/>
    <w:rsid w:val="15C076B6"/>
    <w:rsid w:val="16BD6E16"/>
    <w:rsid w:val="17DB70CB"/>
    <w:rsid w:val="1AF120FF"/>
    <w:rsid w:val="208512E0"/>
    <w:rsid w:val="22C6104D"/>
    <w:rsid w:val="23404961"/>
    <w:rsid w:val="238268C2"/>
    <w:rsid w:val="23A6031B"/>
    <w:rsid w:val="24A3442A"/>
    <w:rsid w:val="26B97F35"/>
    <w:rsid w:val="289E5E70"/>
    <w:rsid w:val="296879F1"/>
    <w:rsid w:val="2AB0164F"/>
    <w:rsid w:val="2AE87C87"/>
    <w:rsid w:val="2B307725"/>
    <w:rsid w:val="2C397E58"/>
    <w:rsid w:val="2E6874E2"/>
    <w:rsid w:val="2E913546"/>
    <w:rsid w:val="2EF94BCF"/>
    <w:rsid w:val="2FAA6C3C"/>
    <w:rsid w:val="3027754D"/>
    <w:rsid w:val="30725BEC"/>
    <w:rsid w:val="325D5536"/>
    <w:rsid w:val="331F5D12"/>
    <w:rsid w:val="34931DC5"/>
    <w:rsid w:val="34AA710F"/>
    <w:rsid w:val="35F25212"/>
    <w:rsid w:val="38887767"/>
    <w:rsid w:val="39AB12F8"/>
    <w:rsid w:val="3B660234"/>
    <w:rsid w:val="3C92164A"/>
    <w:rsid w:val="3CB13731"/>
    <w:rsid w:val="3CCC093A"/>
    <w:rsid w:val="3CDC4526"/>
    <w:rsid w:val="3D85696B"/>
    <w:rsid w:val="3E4D319D"/>
    <w:rsid w:val="3F562BF8"/>
    <w:rsid w:val="434A4F34"/>
    <w:rsid w:val="4433251D"/>
    <w:rsid w:val="44CA3BD5"/>
    <w:rsid w:val="45CC10F1"/>
    <w:rsid w:val="47AE3E64"/>
    <w:rsid w:val="48F21359"/>
    <w:rsid w:val="49B3352A"/>
    <w:rsid w:val="4C1630BE"/>
    <w:rsid w:val="4CAA1F4A"/>
    <w:rsid w:val="4CE85B6B"/>
    <w:rsid w:val="505B2A91"/>
    <w:rsid w:val="51DF7C50"/>
    <w:rsid w:val="52157E66"/>
    <w:rsid w:val="54B970B0"/>
    <w:rsid w:val="54F63F7F"/>
    <w:rsid w:val="5621327D"/>
    <w:rsid w:val="56662515"/>
    <w:rsid w:val="57CC7219"/>
    <w:rsid w:val="5A1E3A76"/>
    <w:rsid w:val="5C004CD1"/>
    <w:rsid w:val="5CC42793"/>
    <w:rsid w:val="5CE13766"/>
    <w:rsid w:val="5DF6548F"/>
    <w:rsid w:val="5EDE6B91"/>
    <w:rsid w:val="61545C10"/>
    <w:rsid w:val="63817018"/>
    <w:rsid w:val="66171FA7"/>
    <w:rsid w:val="67F17144"/>
    <w:rsid w:val="684048B1"/>
    <w:rsid w:val="68B31ACF"/>
    <w:rsid w:val="6BCC2F1D"/>
    <w:rsid w:val="6E6126ED"/>
    <w:rsid w:val="6FE423F7"/>
    <w:rsid w:val="722021E3"/>
    <w:rsid w:val="728E73D0"/>
    <w:rsid w:val="72D07407"/>
    <w:rsid w:val="733A388C"/>
    <w:rsid w:val="740219DC"/>
    <w:rsid w:val="74E73F6C"/>
    <w:rsid w:val="77610394"/>
    <w:rsid w:val="7851759A"/>
    <w:rsid w:val="7875295F"/>
    <w:rsid w:val="79BC16D2"/>
    <w:rsid w:val="7A174C89"/>
    <w:rsid w:val="7A990BEF"/>
    <w:rsid w:val="7AD16771"/>
    <w:rsid w:val="7D0918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0"/>
      <w:lang w:val="en-US" w:eastAsia="zh-CN" w:bidi="ar-SA"/>
    </w:rPr>
  </w:style>
  <w:style w:type="paragraph" w:styleId="2">
    <w:name w:val="heading 1"/>
    <w:basedOn w:val="1"/>
    <w:next w:val="1"/>
    <w:link w:val="16"/>
    <w:qFormat/>
    <w:uiPriority w:val="0"/>
    <w:pPr>
      <w:keepNext/>
      <w:keepLines/>
      <w:numPr>
        <w:ilvl w:val="0"/>
        <w:numId w:val="1"/>
      </w:numPr>
      <w:tabs>
        <w:tab w:val="left" w:pos="432"/>
      </w:tabs>
      <w:spacing w:before="340" w:after="330" w:line="576" w:lineRule="auto"/>
      <w:outlineLvl w:val="0"/>
    </w:pPr>
    <w:rPr>
      <w:b/>
      <w:bCs/>
      <w:kern w:val="44"/>
      <w:sz w:val="36"/>
      <w:szCs w:val="44"/>
    </w:rPr>
  </w:style>
  <w:style w:type="paragraph" w:styleId="3">
    <w:name w:val="heading 2"/>
    <w:basedOn w:val="1"/>
    <w:next w:val="1"/>
    <w:link w:val="17"/>
    <w:unhideWhenUsed/>
    <w:qFormat/>
    <w:uiPriority w:val="0"/>
    <w:pPr>
      <w:keepNext/>
      <w:keepLines/>
      <w:numPr>
        <w:ilvl w:val="1"/>
        <w:numId w:val="1"/>
      </w:numPr>
      <w:tabs>
        <w:tab w:val="left" w:pos="432"/>
        <w:tab w:val="left" w:pos="576"/>
      </w:tabs>
      <w:spacing w:before="260" w:after="260" w:line="412" w:lineRule="auto"/>
      <w:outlineLvl w:val="1"/>
    </w:pPr>
    <w:rPr>
      <w:rFonts w:ascii="Arial" w:hAnsi="Arial" w:eastAsia="黑体"/>
      <w:b/>
      <w:bCs/>
      <w:sz w:val="32"/>
      <w:szCs w:val="32"/>
    </w:rPr>
  </w:style>
  <w:style w:type="paragraph" w:styleId="4">
    <w:name w:val="heading 3"/>
    <w:basedOn w:val="1"/>
    <w:next w:val="1"/>
    <w:link w:val="18"/>
    <w:unhideWhenUsed/>
    <w:qFormat/>
    <w:uiPriority w:val="0"/>
    <w:pPr>
      <w:keepNext/>
      <w:keepLines/>
      <w:numPr>
        <w:ilvl w:val="2"/>
        <w:numId w:val="1"/>
      </w:numPr>
      <w:tabs>
        <w:tab w:val="left" w:pos="432"/>
        <w:tab w:val="left" w:pos="720"/>
      </w:tabs>
      <w:spacing w:before="260" w:after="260" w:line="412" w:lineRule="auto"/>
      <w:outlineLvl w:val="2"/>
    </w:pPr>
    <w:rPr>
      <w:b/>
      <w:bCs/>
      <w:sz w:val="32"/>
      <w:szCs w:val="32"/>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toc 3"/>
    <w:basedOn w:val="1"/>
    <w:next w:val="1"/>
    <w:unhideWhenUsed/>
    <w:qFormat/>
    <w:uiPriority w:val="39"/>
    <w:pPr>
      <w:ind w:left="840" w:leftChars="400"/>
    </w:pPr>
  </w:style>
  <w:style w:type="paragraph" w:styleId="6">
    <w:name w:val="footer"/>
    <w:basedOn w:val="1"/>
    <w:link w:val="15"/>
    <w:unhideWhenUsed/>
    <w:qFormat/>
    <w:uiPriority w:val="99"/>
    <w:pPr>
      <w:tabs>
        <w:tab w:val="center" w:pos="4153"/>
        <w:tab w:val="right" w:pos="8306"/>
      </w:tabs>
      <w:snapToGrid w:val="0"/>
      <w:jc w:val="left"/>
    </w:pPr>
    <w:rPr>
      <w:sz w:val="18"/>
      <w:szCs w:val="18"/>
    </w:rPr>
  </w:style>
  <w:style w:type="paragraph" w:styleId="7">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unhideWhenUsed/>
    <w:qFormat/>
    <w:uiPriority w:val="39"/>
  </w:style>
  <w:style w:type="paragraph" w:styleId="9">
    <w:name w:val="toc 2"/>
    <w:basedOn w:val="1"/>
    <w:next w:val="1"/>
    <w:unhideWhenUsed/>
    <w:qFormat/>
    <w:uiPriority w:val="39"/>
    <w:pPr>
      <w:ind w:left="420" w:leftChars="200"/>
    </w:pPr>
  </w:style>
  <w:style w:type="table" w:styleId="11">
    <w:name w:val="Table Grid"/>
    <w:basedOn w:val="10"/>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unhideWhenUsed/>
    <w:qFormat/>
    <w:uiPriority w:val="99"/>
    <w:rPr>
      <w:color w:val="0000FF"/>
      <w:u w:val="single"/>
    </w:rPr>
  </w:style>
  <w:style w:type="character" w:customStyle="1" w:styleId="14">
    <w:name w:val="页眉 字符"/>
    <w:basedOn w:val="12"/>
    <w:link w:val="7"/>
    <w:qFormat/>
    <w:uiPriority w:val="99"/>
    <w:rPr>
      <w:sz w:val="18"/>
      <w:szCs w:val="18"/>
    </w:rPr>
  </w:style>
  <w:style w:type="character" w:customStyle="1" w:styleId="15">
    <w:name w:val="页脚 字符"/>
    <w:basedOn w:val="12"/>
    <w:link w:val="6"/>
    <w:qFormat/>
    <w:uiPriority w:val="99"/>
    <w:rPr>
      <w:sz w:val="18"/>
      <w:szCs w:val="18"/>
    </w:rPr>
  </w:style>
  <w:style w:type="character" w:customStyle="1" w:styleId="16">
    <w:name w:val="标题 1 字符"/>
    <w:basedOn w:val="12"/>
    <w:link w:val="2"/>
    <w:qFormat/>
    <w:uiPriority w:val="0"/>
    <w:rPr>
      <w:rFonts w:ascii="Times New Roman" w:hAnsi="Times New Roman" w:eastAsia="宋体" w:cs="Times New Roman"/>
      <w:b/>
      <w:bCs/>
      <w:kern w:val="44"/>
      <w:sz w:val="36"/>
      <w:szCs w:val="44"/>
    </w:rPr>
  </w:style>
  <w:style w:type="character" w:customStyle="1" w:styleId="17">
    <w:name w:val="标题 2 字符"/>
    <w:basedOn w:val="12"/>
    <w:link w:val="3"/>
    <w:qFormat/>
    <w:uiPriority w:val="0"/>
    <w:rPr>
      <w:rFonts w:ascii="Arial" w:hAnsi="Arial" w:eastAsia="黑体" w:cs="Times New Roman"/>
      <w:b/>
      <w:bCs/>
      <w:sz w:val="32"/>
      <w:szCs w:val="32"/>
    </w:rPr>
  </w:style>
  <w:style w:type="character" w:customStyle="1" w:styleId="18">
    <w:name w:val="标题 3 字符"/>
    <w:basedOn w:val="12"/>
    <w:link w:val="4"/>
    <w:qFormat/>
    <w:uiPriority w:val="0"/>
    <w:rPr>
      <w:rFonts w:ascii="Times New Roman" w:hAnsi="Times New Roman" w:eastAsia="宋体" w:cs="Times New Roman"/>
      <w:b/>
      <w:bCs/>
      <w:sz w:val="32"/>
      <w:szCs w:val="32"/>
    </w:rPr>
  </w:style>
  <w:style w:type="paragraph" w:customStyle="1" w:styleId="19">
    <w:name w:val="TOC 标题1"/>
    <w:basedOn w:val="2"/>
    <w:next w:val="1"/>
    <w:qFormat/>
    <w:uiPriority w:val="0"/>
    <w:pPr>
      <w:widowControl/>
      <w:numPr>
        <w:numId w:val="0"/>
      </w:numPr>
      <w:spacing w:before="480" w:after="0" w:line="276" w:lineRule="auto"/>
      <w:jc w:val="left"/>
      <w:outlineLvl w:val="9"/>
    </w:pPr>
    <w:rPr>
      <w:rFonts w:ascii="Cambria" w:hAnsi="Cambria"/>
      <w:color w:val="365F91"/>
      <w:kern w:val="0"/>
      <w:sz w:val="28"/>
      <w:szCs w:val="28"/>
    </w:rPr>
  </w:style>
  <w:style w:type="paragraph" w:styleId="20">
    <w:name w:val="List Paragraph"/>
    <w:basedOn w:val="1"/>
    <w:qFormat/>
    <w:uiPriority w:val="34"/>
    <w:pPr>
      <w:ind w:firstLine="420" w:firstLineChars="200"/>
    </w:pPr>
  </w:style>
  <w:style w:type="character" w:customStyle="1" w:styleId="21">
    <w:name w:val="Unresolved Mention"/>
    <w:basedOn w:val="12"/>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theme" Target="theme/theme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numbering" Target="numbering.xml"/><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5E431C-DF17-4080-BE70-74C42507B754}">
  <ds:schemaRefs/>
</ds:datastoreItem>
</file>

<file path=docProps/app.xml><?xml version="1.0" encoding="utf-8"?>
<Properties xmlns="http://schemas.openxmlformats.org/officeDocument/2006/extended-properties" xmlns:vt="http://schemas.openxmlformats.org/officeDocument/2006/docPropsVTypes">
  <Template>Normal.dotm</Template>
  <Pages>13</Pages>
  <Words>2008</Words>
  <Characters>2064</Characters>
  <Lines>16</Lines>
  <Paragraphs>4</Paragraphs>
  <TotalTime>2</TotalTime>
  <ScaleCrop>false</ScaleCrop>
  <LinksUpToDate>false</LinksUpToDate>
  <CharactersWithSpaces>2178</CharactersWithSpaces>
  <Application>WPS Office_12.1.0.15398_F1E327BC-269C-435d-A152-05C5408002CA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2019-12-31T02:58:00Z</dcterms:created>
  <dc:creator>gao haixia</dc:creator>
  <cp:lastModifiedBy>GaoHX</cp:lastModifiedBy>
  <dcterms:modified xsi:type="dcterms:W3CDTF">2023-09-22T00:58:33Z</dcterms:modified>
  <cp:revision>293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2052-12.1.0.15398</vt:lpwstr>
  </property>
  <property fmtid="{D5CDD505-2E9C-101B-9397-08002B2CF9AE}" pid="3" name="ICV">
    <vt:lpwstr>D1571EDB8AB043F7A7A0F6F56E66E9D7</vt:lpwstr>
  </property>
  <property fmtid="{D5CDD505-2E9C-101B-9397-08002B2CF9AE}" pid="4" name="commondata">
    <vt:lpwstr>eyJoZGlkIjoiNGM4OGI4YTkzOTdkZmE2ZDFkZjk3YzY5NmM4NzRkZTYifQ==</vt:lpwstr>
  </property>
</Properties>
</file>