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rPr>
          <w:b/>
          <w:sz w:val="36"/>
          <w:szCs w:val="36"/>
        </w:rPr>
      </w:pPr>
    </w:p>
    <w:p>
      <w:pPr>
        <w:spacing w:line="480" w:lineRule="auto"/>
        <w:rPr>
          <w:b/>
          <w:sz w:val="36"/>
          <w:szCs w:val="36"/>
        </w:rPr>
      </w:pPr>
    </w:p>
    <w:p>
      <w:pPr>
        <w:spacing w:line="480" w:lineRule="auto"/>
        <w:rPr>
          <w:b/>
          <w:sz w:val="36"/>
          <w:szCs w:val="36"/>
        </w:rPr>
      </w:pPr>
    </w:p>
    <w:p>
      <w:pPr>
        <w:spacing w:line="480" w:lineRule="auto"/>
        <w:rPr>
          <w:b/>
          <w:sz w:val="36"/>
          <w:szCs w:val="36"/>
        </w:rPr>
      </w:pPr>
    </w:p>
    <w:p>
      <w:pPr>
        <w:jc w:val="center"/>
        <w:rPr>
          <w:b/>
          <w:sz w:val="52"/>
          <w:szCs w:val="52"/>
        </w:rPr>
      </w:pPr>
      <w:r>
        <w:rPr>
          <w:rFonts w:hint="eastAsia"/>
          <w:b/>
          <w:sz w:val="52"/>
          <w:szCs w:val="52"/>
        </w:rPr>
        <w:t>同济大学</w:t>
      </w:r>
    </w:p>
    <w:p>
      <w:pPr>
        <w:spacing w:line="360" w:lineRule="auto"/>
        <w:jc w:val="center"/>
        <w:rPr>
          <w:b/>
          <w:sz w:val="52"/>
          <w:szCs w:val="52"/>
        </w:rPr>
      </w:pPr>
      <w:r>
        <w:rPr>
          <w:rFonts w:hint="eastAsia"/>
          <w:b/>
          <w:sz w:val="52"/>
          <w:szCs w:val="52"/>
          <w:lang w:val="en-US" w:eastAsia="zh-CN"/>
        </w:rPr>
        <w:t>科研</w:t>
      </w:r>
      <w:r>
        <w:rPr>
          <w:rFonts w:hint="eastAsia"/>
          <w:b/>
          <w:sz w:val="52"/>
          <w:szCs w:val="52"/>
        </w:rPr>
        <w:t>项目管理系统</w:t>
      </w:r>
    </w:p>
    <w:p>
      <w:pPr>
        <w:spacing w:line="360" w:lineRule="auto"/>
        <w:jc w:val="center"/>
        <w:rPr>
          <w:b/>
          <w:sz w:val="52"/>
          <w:szCs w:val="52"/>
        </w:rPr>
      </w:pPr>
    </w:p>
    <w:p>
      <w:pPr>
        <w:spacing w:line="360" w:lineRule="auto"/>
        <w:jc w:val="center"/>
        <w:rPr>
          <w:b/>
          <w:sz w:val="28"/>
          <w:szCs w:val="28"/>
        </w:rPr>
      </w:pPr>
      <w:r>
        <w:rPr>
          <w:rFonts w:hint="eastAsia"/>
          <w:b/>
          <w:sz w:val="28"/>
          <w:szCs w:val="28"/>
        </w:rPr>
        <w:t>操作手册</w:t>
      </w:r>
    </w:p>
    <w:p>
      <w:pPr>
        <w:spacing w:line="360" w:lineRule="auto"/>
        <w:jc w:val="center"/>
        <w:rPr>
          <w:b/>
          <w:sz w:val="28"/>
          <w:szCs w:val="28"/>
        </w:rPr>
      </w:pPr>
      <w:r>
        <w:rPr>
          <w:rFonts w:hint="eastAsia"/>
          <w:b/>
          <w:sz w:val="28"/>
          <w:szCs w:val="28"/>
        </w:rPr>
        <w:t>（项目主管使用）</w:t>
      </w: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r>
        <w:rPr>
          <w:rFonts w:hint="eastAsia"/>
          <w:b/>
          <w:sz w:val="28"/>
          <w:szCs w:val="28"/>
        </w:rPr>
        <w:t>V</w:t>
      </w:r>
      <w:r>
        <w:rPr>
          <w:b/>
          <w:sz w:val="28"/>
          <w:szCs w:val="28"/>
        </w:rPr>
        <w:t>er:</w:t>
      </w:r>
      <w:r>
        <w:rPr>
          <w:rFonts w:hint="eastAsia"/>
          <w:b/>
          <w:sz w:val="28"/>
          <w:szCs w:val="28"/>
          <w:lang w:val="en-US" w:eastAsia="zh-CN"/>
        </w:rPr>
        <w:t>2</w:t>
      </w:r>
      <w:r>
        <w:rPr>
          <w:b/>
          <w:sz w:val="28"/>
          <w:szCs w:val="28"/>
        </w:rPr>
        <w:t>.0</w:t>
      </w:r>
    </w:p>
    <w:p>
      <w:pPr>
        <w:spacing w:line="360" w:lineRule="auto"/>
        <w:jc w:val="center"/>
        <w:rPr>
          <w:b/>
          <w:sz w:val="28"/>
          <w:szCs w:val="28"/>
        </w:rPr>
      </w:pPr>
      <w:r>
        <w:rPr>
          <w:rFonts w:hint="eastAsia"/>
          <w:b/>
          <w:sz w:val="28"/>
          <w:szCs w:val="28"/>
        </w:rPr>
        <w:t>2</w:t>
      </w:r>
      <w:r>
        <w:rPr>
          <w:b/>
          <w:sz w:val="28"/>
          <w:szCs w:val="28"/>
        </w:rPr>
        <w:t>02</w:t>
      </w:r>
      <w:r>
        <w:rPr>
          <w:rFonts w:hint="eastAsia"/>
          <w:b/>
          <w:sz w:val="28"/>
          <w:szCs w:val="28"/>
          <w:lang w:val="en-US" w:eastAsia="zh-CN"/>
        </w:rPr>
        <w:t>3</w:t>
      </w:r>
      <w:r>
        <w:rPr>
          <w:b/>
          <w:sz w:val="28"/>
          <w:szCs w:val="28"/>
        </w:rPr>
        <w:t>/0</w:t>
      </w:r>
      <w:r>
        <w:rPr>
          <w:rFonts w:hint="eastAsia"/>
          <w:b/>
          <w:sz w:val="28"/>
          <w:szCs w:val="28"/>
          <w:lang w:val="en-US" w:eastAsia="zh-CN"/>
        </w:rPr>
        <w:t>8</w:t>
      </w:r>
      <w:r>
        <w:rPr>
          <w:b/>
          <w:sz w:val="28"/>
          <w:szCs w:val="28"/>
        </w:rPr>
        <w:t>/10</w:t>
      </w: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rPr>
          <w:b/>
          <w:sz w:val="28"/>
          <w:szCs w:val="28"/>
        </w:rPr>
      </w:pPr>
      <w:r>
        <w:rPr>
          <w:b/>
          <w:sz w:val="28"/>
          <w:szCs w:val="28"/>
        </w:rPr>
        <w:br w:type="page"/>
      </w:r>
      <w:r>
        <w:rPr>
          <w:rFonts w:hint="eastAsia"/>
          <w:b/>
          <w:sz w:val="28"/>
          <w:szCs w:val="28"/>
        </w:rPr>
        <w:t>文档修订记录</w:t>
      </w:r>
    </w:p>
    <w:tbl>
      <w:tblPr>
        <w:tblStyle w:val="1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709"/>
        <w:gridCol w:w="3827"/>
        <w:gridCol w:w="1560"/>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0CECE" w:themeFill="background2" w:themeFillShade="E6"/>
            <w:vAlign w:val="center"/>
          </w:tcPr>
          <w:p>
            <w:pPr>
              <w:jc w:val="center"/>
              <w:rPr>
                <w:b/>
                <w:kern w:val="0"/>
                <w:sz w:val="20"/>
                <w:szCs w:val="24"/>
              </w:rPr>
            </w:pPr>
            <w:r>
              <w:rPr>
                <w:rFonts w:hint="eastAsia"/>
                <w:b/>
                <w:kern w:val="0"/>
                <w:sz w:val="20"/>
                <w:szCs w:val="24"/>
              </w:rPr>
              <w:t>版本编号或者</w:t>
            </w:r>
          </w:p>
          <w:p>
            <w:pPr>
              <w:jc w:val="center"/>
              <w:rPr>
                <w:b/>
                <w:kern w:val="0"/>
                <w:sz w:val="20"/>
                <w:szCs w:val="24"/>
              </w:rPr>
            </w:pPr>
            <w:r>
              <w:rPr>
                <w:rFonts w:hint="eastAsia"/>
                <w:b/>
                <w:kern w:val="0"/>
                <w:sz w:val="20"/>
                <w:szCs w:val="24"/>
              </w:rPr>
              <w:t>更改记录编号</w:t>
            </w:r>
            <w:r>
              <w:rPr>
                <w:b/>
                <w:kern w:val="0"/>
                <w:sz w:val="20"/>
                <w:szCs w:val="24"/>
              </w:rPr>
              <w:t> </w:t>
            </w:r>
          </w:p>
        </w:tc>
        <w:tc>
          <w:tcPr>
            <w:tcW w:w="709" w:type="dxa"/>
            <w:shd w:val="clear" w:color="auto" w:fill="D0CECE" w:themeFill="background2" w:themeFillShade="E6"/>
            <w:vAlign w:val="center"/>
          </w:tcPr>
          <w:p>
            <w:pPr>
              <w:rPr>
                <w:b/>
                <w:kern w:val="0"/>
                <w:sz w:val="20"/>
                <w:szCs w:val="24"/>
              </w:rPr>
            </w:pPr>
            <w:r>
              <w:rPr>
                <w:rFonts w:hint="eastAsia"/>
                <w:b/>
                <w:kern w:val="0"/>
                <w:sz w:val="20"/>
                <w:szCs w:val="24"/>
              </w:rPr>
              <w:t>变化</w:t>
            </w:r>
          </w:p>
          <w:p>
            <w:pPr>
              <w:rPr>
                <w:b/>
                <w:kern w:val="0"/>
                <w:sz w:val="20"/>
                <w:szCs w:val="24"/>
              </w:rPr>
            </w:pPr>
            <w:r>
              <w:rPr>
                <w:rFonts w:hint="eastAsia"/>
                <w:b/>
                <w:kern w:val="0"/>
                <w:sz w:val="20"/>
                <w:szCs w:val="24"/>
              </w:rPr>
              <w:t>状态</w:t>
            </w:r>
          </w:p>
        </w:tc>
        <w:tc>
          <w:tcPr>
            <w:tcW w:w="3827" w:type="dxa"/>
            <w:shd w:val="clear" w:color="auto" w:fill="D0CECE" w:themeFill="background2" w:themeFillShade="E6"/>
            <w:vAlign w:val="center"/>
          </w:tcPr>
          <w:p>
            <w:pPr>
              <w:jc w:val="center"/>
              <w:rPr>
                <w:b/>
                <w:kern w:val="0"/>
                <w:sz w:val="20"/>
                <w:szCs w:val="24"/>
              </w:rPr>
            </w:pPr>
            <w:r>
              <w:rPr>
                <w:rFonts w:hint="eastAsia"/>
                <w:b/>
                <w:kern w:val="0"/>
                <w:sz w:val="20"/>
                <w:szCs w:val="24"/>
              </w:rPr>
              <w:t>简要说明</w:t>
            </w:r>
          </w:p>
          <w:p>
            <w:pPr>
              <w:jc w:val="center"/>
              <w:rPr>
                <w:b/>
                <w:kern w:val="0"/>
                <w:sz w:val="20"/>
                <w:szCs w:val="24"/>
              </w:rPr>
            </w:pPr>
            <w:r>
              <w:rPr>
                <w:rFonts w:hint="eastAsia"/>
                <w:b/>
                <w:kern w:val="0"/>
                <w:sz w:val="20"/>
                <w:szCs w:val="24"/>
              </w:rPr>
              <w:t>（变更内容和变更范围）</w:t>
            </w:r>
            <w:r>
              <w:rPr>
                <w:b/>
                <w:kern w:val="0"/>
                <w:sz w:val="20"/>
                <w:szCs w:val="24"/>
              </w:rPr>
              <w:t> </w:t>
            </w:r>
          </w:p>
        </w:tc>
        <w:tc>
          <w:tcPr>
            <w:tcW w:w="1560" w:type="dxa"/>
            <w:shd w:val="clear" w:color="auto" w:fill="D0CECE" w:themeFill="background2" w:themeFillShade="E6"/>
            <w:vAlign w:val="center"/>
          </w:tcPr>
          <w:p>
            <w:pPr>
              <w:jc w:val="center"/>
              <w:rPr>
                <w:b/>
                <w:kern w:val="0"/>
                <w:sz w:val="20"/>
                <w:szCs w:val="24"/>
              </w:rPr>
            </w:pPr>
            <w:r>
              <w:rPr>
                <w:rFonts w:hint="eastAsia"/>
                <w:b/>
                <w:kern w:val="0"/>
                <w:sz w:val="20"/>
                <w:szCs w:val="24"/>
              </w:rPr>
              <w:t>日期</w:t>
            </w:r>
          </w:p>
        </w:tc>
        <w:tc>
          <w:tcPr>
            <w:tcW w:w="1275" w:type="dxa"/>
            <w:shd w:val="clear" w:color="auto" w:fill="D0CECE" w:themeFill="background2" w:themeFillShade="E6"/>
            <w:vAlign w:val="center"/>
          </w:tcPr>
          <w:p>
            <w:pPr>
              <w:jc w:val="center"/>
              <w:rPr>
                <w:b/>
                <w:kern w:val="0"/>
                <w:sz w:val="20"/>
                <w:szCs w:val="24"/>
              </w:rPr>
            </w:pPr>
            <w:r>
              <w:rPr>
                <w:rFonts w:hint="eastAsia"/>
                <w:b/>
                <w:kern w:val="0"/>
                <w:sz w:val="20"/>
                <w:szCs w:val="24"/>
              </w:rPr>
              <w:t>修订人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r>
              <w:rPr>
                <w:rFonts w:hint="eastAsia"/>
                <w:b/>
                <w:kern w:val="0"/>
                <w:sz w:val="20"/>
                <w:szCs w:val="24"/>
              </w:rPr>
              <w:t>V</w:t>
            </w:r>
            <w:r>
              <w:rPr>
                <w:b/>
                <w:kern w:val="0"/>
                <w:sz w:val="20"/>
                <w:szCs w:val="24"/>
              </w:rPr>
              <w:t>1.0</w:t>
            </w:r>
          </w:p>
        </w:tc>
        <w:tc>
          <w:tcPr>
            <w:tcW w:w="709" w:type="dxa"/>
          </w:tcPr>
          <w:p>
            <w:pPr>
              <w:rPr>
                <w:b/>
                <w:kern w:val="0"/>
                <w:sz w:val="20"/>
                <w:szCs w:val="24"/>
              </w:rPr>
            </w:pPr>
            <w:r>
              <w:rPr>
                <w:rFonts w:hint="eastAsia"/>
                <w:b/>
                <w:kern w:val="0"/>
                <w:sz w:val="20"/>
                <w:szCs w:val="24"/>
              </w:rPr>
              <w:t>新建</w:t>
            </w: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top"/>
          </w:tcPr>
          <w:p>
            <w:pPr>
              <w:rPr>
                <w:b/>
                <w:kern w:val="0"/>
                <w:sz w:val="20"/>
                <w:szCs w:val="24"/>
              </w:rPr>
            </w:pPr>
            <w:r>
              <w:rPr>
                <w:rFonts w:hint="eastAsia"/>
                <w:b/>
                <w:kern w:val="0"/>
                <w:sz w:val="20"/>
                <w:szCs w:val="24"/>
              </w:rPr>
              <w:t>V</w:t>
            </w:r>
            <w:r>
              <w:rPr>
                <w:rFonts w:hint="eastAsia"/>
                <w:b/>
                <w:kern w:val="0"/>
                <w:sz w:val="20"/>
                <w:szCs w:val="24"/>
                <w:lang w:val="en-US" w:eastAsia="zh-CN"/>
              </w:rPr>
              <w:t>2</w:t>
            </w:r>
            <w:r>
              <w:rPr>
                <w:b/>
                <w:kern w:val="0"/>
                <w:sz w:val="20"/>
                <w:szCs w:val="24"/>
              </w:rPr>
              <w:t>.0</w:t>
            </w:r>
          </w:p>
        </w:tc>
        <w:tc>
          <w:tcPr>
            <w:tcW w:w="709" w:type="dxa"/>
            <w:vAlign w:val="top"/>
          </w:tcPr>
          <w:p>
            <w:pPr>
              <w:rPr>
                <w:b/>
                <w:kern w:val="0"/>
                <w:sz w:val="20"/>
                <w:szCs w:val="24"/>
              </w:rPr>
            </w:pPr>
            <w:r>
              <w:rPr>
                <w:rFonts w:hint="eastAsia"/>
                <w:b/>
                <w:kern w:val="0"/>
                <w:sz w:val="20"/>
                <w:szCs w:val="24"/>
                <w:lang w:val="en-US" w:eastAsia="zh-CN"/>
              </w:rPr>
              <w:t>更新</w:t>
            </w:r>
          </w:p>
        </w:tc>
        <w:tc>
          <w:tcPr>
            <w:tcW w:w="3827" w:type="dxa"/>
            <w:vAlign w:val="top"/>
          </w:tcPr>
          <w:p>
            <w:pPr>
              <w:rPr>
                <w:b/>
                <w:kern w:val="0"/>
                <w:sz w:val="20"/>
                <w:szCs w:val="24"/>
              </w:rPr>
            </w:pPr>
            <w:r>
              <w:rPr>
                <w:rFonts w:hint="eastAsia"/>
                <w:b/>
                <w:kern w:val="0"/>
                <w:sz w:val="20"/>
                <w:szCs w:val="24"/>
                <w:lang w:val="en-US" w:eastAsia="zh-CN"/>
              </w:rPr>
              <w:t>横纵向系统合并</w:t>
            </w:r>
          </w:p>
        </w:tc>
        <w:tc>
          <w:tcPr>
            <w:tcW w:w="1560" w:type="dxa"/>
            <w:vAlign w:val="top"/>
          </w:tcPr>
          <w:p>
            <w:pPr>
              <w:rPr>
                <w:b/>
                <w:kern w:val="0"/>
                <w:sz w:val="20"/>
                <w:szCs w:val="24"/>
              </w:rPr>
            </w:pPr>
            <w:r>
              <w:rPr>
                <w:rFonts w:hint="eastAsia"/>
                <w:b/>
                <w:kern w:val="0"/>
                <w:sz w:val="20"/>
                <w:szCs w:val="24"/>
                <w:lang w:val="en-US" w:eastAsia="zh-CN"/>
              </w:rPr>
              <w:t>2023/08/10</w:t>
            </w:r>
          </w:p>
        </w:tc>
        <w:tc>
          <w:tcPr>
            <w:tcW w:w="1275" w:type="dxa"/>
            <w:vAlign w:val="top"/>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bl>
    <w:p/>
    <w:p>
      <w:r>
        <w:br w:type="page"/>
      </w:r>
    </w:p>
    <w:p>
      <w:pPr>
        <w:pStyle w:val="19"/>
        <w:jc w:val="center"/>
      </w:pPr>
      <w:r>
        <w:rPr>
          <w:rFonts w:hint="eastAsia"/>
          <w:lang w:val="zh-CN"/>
        </w:rPr>
        <w:t>目录</w:t>
      </w:r>
    </w:p>
    <w:p>
      <w:pPr>
        <w:pStyle w:val="8"/>
        <w:tabs>
          <w:tab w:val="right" w:leader="dot" w:pos="8306"/>
        </w:tabs>
      </w:pPr>
      <w:r>
        <w:fldChar w:fldCharType="begin"/>
      </w:r>
      <w:r>
        <w:instrText xml:space="preserve"> TOC \o "1-3" \h \z \u </w:instrText>
      </w:r>
      <w:r>
        <w:fldChar w:fldCharType="separate"/>
      </w:r>
      <w:r>
        <w:fldChar w:fldCharType="begin"/>
      </w:r>
      <w:r>
        <w:instrText xml:space="preserve"> HYPERLINK \l _Toc61 </w:instrText>
      </w:r>
      <w:r>
        <w:fldChar w:fldCharType="separate"/>
      </w:r>
      <w:r>
        <w:t xml:space="preserve">1 </w:t>
      </w:r>
      <w:r>
        <w:rPr>
          <w:rFonts w:hint="eastAsia"/>
        </w:rPr>
        <w:t>引言</w:t>
      </w:r>
      <w:r>
        <w:tab/>
      </w:r>
      <w:r>
        <w:fldChar w:fldCharType="begin"/>
      </w:r>
      <w:r>
        <w:instrText xml:space="preserve"> PAGEREF _Toc61 \h </w:instrText>
      </w:r>
      <w:r>
        <w:fldChar w:fldCharType="separate"/>
      </w:r>
      <w:r>
        <w:t>4</w:t>
      </w:r>
      <w:r>
        <w:fldChar w:fldCharType="end"/>
      </w:r>
      <w:r>
        <w:fldChar w:fldCharType="end"/>
      </w:r>
    </w:p>
    <w:p>
      <w:pPr>
        <w:pStyle w:val="9"/>
        <w:tabs>
          <w:tab w:val="right" w:leader="dot" w:pos="8306"/>
        </w:tabs>
      </w:pPr>
      <w:r>
        <w:rPr>
          <w:bCs/>
          <w:lang w:val="zh-CN"/>
        </w:rPr>
        <w:fldChar w:fldCharType="begin"/>
      </w:r>
      <w:r>
        <w:rPr>
          <w:bCs/>
          <w:lang w:val="zh-CN"/>
        </w:rPr>
        <w:instrText xml:space="preserve"> HYPERLINK \l _Toc19204 </w:instrText>
      </w:r>
      <w:r>
        <w:rPr>
          <w:bCs/>
          <w:lang w:val="zh-CN"/>
        </w:rPr>
        <w:fldChar w:fldCharType="separate"/>
      </w:r>
      <w:r>
        <w:rPr>
          <w:rFonts w:ascii="宋体" w:hAnsi="宋体" w:eastAsia="宋体"/>
        </w:rPr>
        <w:t xml:space="preserve">1.1 </w:t>
      </w:r>
      <w:r>
        <w:rPr>
          <w:rFonts w:hint="eastAsia" w:ascii="宋体" w:hAnsi="宋体" w:eastAsia="宋体"/>
        </w:rPr>
        <w:t>编写目的</w:t>
      </w:r>
      <w:r>
        <w:tab/>
      </w:r>
      <w:r>
        <w:fldChar w:fldCharType="begin"/>
      </w:r>
      <w:r>
        <w:instrText xml:space="preserve"> PAGEREF _Toc19204 \h </w:instrText>
      </w:r>
      <w:r>
        <w:fldChar w:fldCharType="separate"/>
      </w:r>
      <w:r>
        <w:t>4</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_Toc28395 </w:instrText>
      </w:r>
      <w:r>
        <w:rPr>
          <w:bCs/>
          <w:lang w:val="zh-CN"/>
        </w:rPr>
        <w:fldChar w:fldCharType="separate"/>
      </w:r>
      <w:r>
        <w:rPr>
          <w:rFonts w:ascii="宋体" w:hAnsi="宋体" w:eastAsia="宋体"/>
        </w:rPr>
        <w:t xml:space="preserve">1.2 </w:t>
      </w:r>
      <w:r>
        <w:rPr>
          <w:rFonts w:hint="eastAsia" w:ascii="宋体" w:hAnsi="宋体" w:eastAsia="宋体"/>
        </w:rPr>
        <w:t>适用范围</w:t>
      </w:r>
      <w:r>
        <w:tab/>
      </w:r>
      <w:r>
        <w:fldChar w:fldCharType="begin"/>
      </w:r>
      <w:r>
        <w:instrText xml:space="preserve"> PAGEREF _Toc28395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_Toc4150 </w:instrText>
      </w:r>
      <w:r>
        <w:rPr>
          <w:bCs/>
          <w:lang w:val="zh-CN"/>
        </w:rPr>
        <w:fldChar w:fldCharType="separate"/>
      </w:r>
      <w:r>
        <w:t xml:space="preserve">2 </w:t>
      </w:r>
      <w:r>
        <w:rPr>
          <w:rFonts w:hint="eastAsia"/>
        </w:rPr>
        <w:t>系统概述</w:t>
      </w:r>
      <w:r>
        <w:tab/>
      </w:r>
      <w:r>
        <w:fldChar w:fldCharType="begin"/>
      </w:r>
      <w:r>
        <w:instrText xml:space="preserve"> PAGEREF _Toc4150 \h </w:instrText>
      </w:r>
      <w:r>
        <w:fldChar w:fldCharType="separate"/>
      </w:r>
      <w:r>
        <w:t>4</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_Toc30788 </w:instrText>
      </w:r>
      <w:r>
        <w:rPr>
          <w:bCs/>
          <w:lang w:val="zh-CN"/>
        </w:rPr>
        <w:fldChar w:fldCharType="separate"/>
      </w:r>
      <w:r>
        <w:rPr>
          <w:rFonts w:ascii="宋体" w:hAnsi="宋体" w:eastAsia="宋体"/>
          <w:szCs w:val="28"/>
        </w:rPr>
        <w:t xml:space="preserve">2.1 </w:t>
      </w:r>
      <w:r>
        <w:rPr>
          <w:rFonts w:hint="eastAsia" w:ascii="宋体" w:hAnsi="宋体" w:eastAsia="宋体"/>
          <w:szCs w:val="28"/>
        </w:rPr>
        <w:t>系统简介</w:t>
      </w:r>
      <w:r>
        <w:tab/>
      </w:r>
      <w:r>
        <w:fldChar w:fldCharType="begin"/>
      </w:r>
      <w:r>
        <w:instrText xml:space="preserve"> PAGEREF _Toc30788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_Toc17273 </w:instrText>
      </w:r>
      <w:r>
        <w:rPr>
          <w:bCs/>
          <w:lang w:val="zh-CN"/>
        </w:rPr>
        <w:fldChar w:fldCharType="separate"/>
      </w:r>
      <w:r>
        <w:t xml:space="preserve">3 </w:t>
      </w:r>
      <w:r>
        <w:rPr>
          <w:rFonts w:hint="eastAsia"/>
        </w:rPr>
        <w:t>登录方式</w:t>
      </w:r>
      <w:r>
        <w:tab/>
      </w:r>
      <w:r>
        <w:fldChar w:fldCharType="begin"/>
      </w:r>
      <w:r>
        <w:instrText xml:space="preserve"> PAGEREF _Toc17273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_Toc25130 </w:instrText>
      </w:r>
      <w:r>
        <w:rPr>
          <w:bCs/>
          <w:lang w:val="zh-CN"/>
        </w:rPr>
        <w:fldChar w:fldCharType="separate"/>
      </w:r>
      <w:r>
        <w:t xml:space="preserve">4 </w:t>
      </w:r>
      <w:r>
        <w:rPr>
          <w:rFonts w:hint="eastAsia"/>
          <w:lang w:val="en-US" w:eastAsia="zh-CN"/>
        </w:rPr>
        <w:t>角色说明</w:t>
      </w:r>
      <w:r>
        <w:tab/>
      </w:r>
      <w:r>
        <w:fldChar w:fldCharType="begin"/>
      </w:r>
      <w:r>
        <w:instrText xml:space="preserve"> PAGEREF _Toc25130 \h </w:instrText>
      </w:r>
      <w:r>
        <w:fldChar w:fldCharType="separate"/>
      </w:r>
      <w:r>
        <w:t>5</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_Toc9686 </w:instrText>
      </w:r>
      <w:r>
        <w:rPr>
          <w:bCs/>
          <w:lang w:val="zh-CN"/>
        </w:rPr>
        <w:fldChar w:fldCharType="separate"/>
      </w:r>
      <w:r>
        <w:t xml:space="preserve">5 </w:t>
      </w:r>
      <w:r>
        <w:rPr>
          <w:rFonts w:hint="eastAsia"/>
        </w:rPr>
        <w:t>审批规则</w:t>
      </w:r>
      <w:r>
        <w:tab/>
      </w:r>
      <w:r>
        <w:fldChar w:fldCharType="begin"/>
      </w:r>
      <w:r>
        <w:instrText xml:space="preserve"> PAGEREF _Toc9686 \h </w:instrText>
      </w:r>
      <w:r>
        <w:fldChar w:fldCharType="separate"/>
      </w:r>
      <w:r>
        <w:t>5</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_Toc22919 </w:instrText>
      </w:r>
      <w:r>
        <w:rPr>
          <w:bCs/>
          <w:lang w:val="zh-CN"/>
        </w:rPr>
        <w:fldChar w:fldCharType="separate"/>
      </w:r>
      <w:r>
        <w:rPr>
          <w:rFonts w:hint="eastAsia"/>
        </w:rPr>
        <w:t>6 项目立项</w:t>
      </w:r>
      <w:r>
        <w:tab/>
      </w:r>
      <w:r>
        <w:fldChar w:fldCharType="begin"/>
      </w:r>
      <w:r>
        <w:instrText xml:space="preserve"> PAGEREF _Toc22919 \h </w:instrText>
      </w:r>
      <w:r>
        <w:fldChar w:fldCharType="separate"/>
      </w:r>
      <w:r>
        <w:t>6</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_Toc26761 </w:instrText>
      </w:r>
      <w:r>
        <w:rPr>
          <w:bCs/>
          <w:lang w:val="zh-CN"/>
        </w:rPr>
        <w:fldChar w:fldCharType="separate"/>
      </w:r>
      <w:r>
        <w:rPr>
          <w:rFonts w:ascii="宋体" w:hAnsi="宋体" w:eastAsia="宋体"/>
          <w:szCs w:val="28"/>
        </w:rPr>
        <w:t xml:space="preserve">6.1 </w:t>
      </w:r>
      <w:r>
        <w:rPr>
          <w:rFonts w:hint="eastAsia" w:ascii="宋体" w:hAnsi="宋体" w:eastAsia="宋体"/>
          <w:szCs w:val="28"/>
          <w:lang w:val="en-US" w:eastAsia="zh-CN"/>
        </w:rPr>
        <w:t>纵向</w:t>
      </w:r>
      <w:r>
        <w:rPr>
          <w:rFonts w:hint="eastAsia" w:ascii="宋体" w:hAnsi="宋体" w:eastAsia="宋体"/>
          <w:szCs w:val="28"/>
        </w:rPr>
        <w:t>项目立项审核</w:t>
      </w:r>
      <w:r>
        <w:tab/>
      </w:r>
      <w:r>
        <w:fldChar w:fldCharType="begin"/>
      </w:r>
      <w:r>
        <w:instrText xml:space="preserve"> PAGEREF _Toc26761 \h </w:instrText>
      </w:r>
      <w:r>
        <w:fldChar w:fldCharType="separate"/>
      </w:r>
      <w:r>
        <w:t>6</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_Toc2741 </w:instrText>
      </w:r>
      <w:r>
        <w:rPr>
          <w:bCs/>
          <w:lang w:val="zh-CN"/>
        </w:rPr>
        <w:fldChar w:fldCharType="separate"/>
      </w:r>
      <w:r>
        <w:rPr>
          <w:rFonts w:ascii="宋体" w:hAnsi="宋体" w:eastAsia="宋体"/>
          <w:szCs w:val="28"/>
        </w:rPr>
        <w:t xml:space="preserve">6.2 </w:t>
      </w:r>
      <w:r>
        <w:rPr>
          <w:rFonts w:hint="eastAsia" w:ascii="宋体" w:hAnsi="宋体" w:eastAsia="宋体"/>
          <w:szCs w:val="28"/>
          <w:lang w:val="en-US" w:eastAsia="zh-CN"/>
        </w:rPr>
        <w:t>横向项目立项审核</w:t>
      </w:r>
      <w:r>
        <w:tab/>
      </w:r>
      <w:r>
        <w:fldChar w:fldCharType="begin"/>
      </w:r>
      <w:r>
        <w:instrText xml:space="preserve"> PAGEREF _Toc2741 \h </w:instrText>
      </w:r>
      <w:r>
        <w:fldChar w:fldCharType="separate"/>
      </w:r>
      <w:r>
        <w:t>7</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_Toc3658 </w:instrText>
      </w:r>
      <w:r>
        <w:rPr>
          <w:bCs/>
          <w:lang w:val="zh-CN"/>
        </w:rPr>
        <w:fldChar w:fldCharType="separate"/>
      </w:r>
      <w:r>
        <w:rPr>
          <w:rFonts w:ascii="宋体" w:hAnsi="宋体" w:eastAsia="宋体"/>
          <w:szCs w:val="28"/>
        </w:rPr>
        <w:t xml:space="preserve">6.3 </w:t>
      </w:r>
      <w:r>
        <w:rPr>
          <w:rFonts w:hint="eastAsia" w:ascii="宋体" w:hAnsi="宋体" w:eastAsia="宋体"/>
          <w:szCs w:val="28"/>
          <w:lang w:val="en-US" w:eastAsia="zh-CN"/>
        </w:rPr>
        <w:t>专利转化项目立项审核</w:t>
      </w:r>
      <w:r>
        <w:tab/>
      </w:r>
      <w:r>
        <w:fldChar w:fldCharType="begin"/>
      </w:r>
      <w:r>
        <w:instrText xml:space="preserve"> PAGEREF _Toc3658 \h </w:instrText>
      </w:r>
      <w:r>
        <w:fldChar w:fldCharType="separate"/>
      </w:r>
      <w:r>
        <w:t>9</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_Toc32304 </w:instrText>
      </w:r>
      <w:r>
        <w:rPr>
          <w:bCs/>
          <w:lang w:val="zh-CN"/>
        </w:rPr>
        <w:fldChar w:fldCharType="separate"/>
      </w:r>
      <w:r>
        <w:rPr>
          <w:rFonts w:ascii="宋体" w:hAnsi="宋体" w:eastAsia="宋体"/>
          <w:szCs w:val="28"/>
        </w:rPr>
        <w:t xml:space="preserve">6.4 </w:t>
      </w:r>
      <w:r>
        <w:rPr>
          <w:rFonts w:hint="eastAsia" w:ascii="宋体" w:hAnsi="宋体" w:eastAsia="宋体"/>
          <w:szCs w:val="28"/>
          <w:lang w:val="en-US" w:eastAsia="zh-CN"/>
        </w:rPr>
        <w:t>专用项目立项审核</w:t>
      </w:r>
      <w:r>
        <w:tab/>
      </w:r>
      <w:r>
        <w:fldChar w:fldCharType="begin"/>
      </w:r>
      <w:r>
        <w:instrText xml:space="preserve"> PAGEREF _Toc32304 \h </w:instrText>
      </w:r>
      <w:r>
        <w:fldChar w:fldCharType="separate"/>
      </w:r>
      <w:r>
        <w:t>9</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_Toc21442 </w:instrText>
      </w:r>
      <w:r>
        <w:rPr>
          <w:bCs/>
          <w:lang w:val="zh-CN"/>
        </w:rPr>
        <w:fldChar w:fldCharType="separate"/>
      </w:r>
      <w:r>
        <w:t xml:space="preserve">7 </w:t>
      </w:r>
      <w:r>
        <w:rPr>
          <w:rFonts w:hint="eastAsia"/>
        </w:rPr>
        <w:t>项目变更</w:t>
      </w:r>
      <w:r>
        <w:tab/>
      </w:r>
      <w:r>
        <w:fldChar w:fldCharType="begin"/>
      </w:r>
      <w:r>
        <w:instrText xml:space="preserve"> PAGEREF _Toc21442 \h </w:instrText>
      </w:r>
      <w:r>
        <w:fldChar w:fldCharType="separate"/>
      </w:r>
      <w:r>
        <w:t>10</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_Toc25516 </w:instrText>
      </w:r>
      <w:r>
        <w:rPr>
          <w:bCs/>
          <w:lang w:val="zh-CN"/>
        </w:rPr>
        <w:fldChar w:fldCharType="separate"/>
      </w:r>
      <w:r>
        <w:rPr>
          <w:rFonts w:ascii="宋体" w:hAnsi="宋体" w:eastAsia="宋体"/>
          <w:szCs w:val="28"/>
        </w:rPr>
        <w:t xml:space="preserve">7.1 </w:t>
      </w:r>
      <w:r>
        <w:rPr>
          <w:rFonts w:hint="eastAsia" w:ascii="宋体" w:hAnsi="宋体" w:eastAsia="宋体"/>
          <w:szCs w:val="28"/>
        </w:rPr>
        <w:t>项目变更审核</w:t>
      </w:r>
      <w:r>
        <w:tab/>
      </w:r>
      <w:r>
        <w:fldChar w:fldCharType="begin"/>
      </w:r>
      <w:r>
        <w:instrText xml:space="preserve"> PAGEREF _Toc25516 \h </w:instrText>
      </w:r>
      <w:r>
        <w:fldChar w:fldCharType="separate"/>
      </w:r>
      <w:r>
        <w:t>10</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_Toc16574 </w:instrText>
      </w:r>
      <w:r>
        <w:rPr>
          <w:bCs/>
          <w:lang w:val="zh-CN"/>
        </w:rPr>
        <w:fldChar w:fldCharType="separate"/>
      </w:r>
      <w:r>
        <w:rPr>
          <w:rFonts w:ascii="宋体" w:hAnsi="宋体" w:eastAsia="宋体"/>
          <w:szCs w:val="28"/>
        </w:rPr>
        <w:t xml:space="preserve">7.2 </w:t>
      </w:r>
      <w:r>
        <w:rPr>
          <w:rFonts w:hint="eastAsia" w:ascii="宋体" w:hAnsi="宋体" w:eastAsia="宋体"/>
          <w:szCs w:val="28"/>
          <w:lang w:val="en-US" w:eastAsia="zh-CN"/>
        </w:rPr>
        <w:t>外协合同</w:t>
      </w:r>
      <w:r>
        <w:rPr>
          <w:rFonts w:hint="eastAsia" w:ascii="宋体" w:hAnsi="宋体" w:eastAsia="宋体"/>
          <w:szCs w:val="28"/>
        </w:rPr>
        <w:t>变更</w:t>
      </w:r>
      <w:r>
        <w:rPr>
          <w:rFonts w:hint="eastAsia" w:ascii="宋体" w:hAnsi="宋体" w:eastAsia="宋体"/>
          <w:szCs w:val="28"/>
          <w:lang w:val="en-US" w:eastAsia="zh-CN"/>
        </w:rPr>
        <w:t>审核</w:t>
      </w:r>
      <w:r>
        <w:tab/>
      </w:r>
      <w:r>
        <w:fldChar w:fldCharType="begin"/>
      </w:r>
      <w:r>
        <w:instrText xml:space="preserve"> PAGEREF _Toc16574 \h </w:instrText>
      </w:r>
      <w:r>
        <w:fldChar w:fldCharType="separate"/>
      </w:r>
      <w:r>
        <w:t>10</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_Toc1800 </w:instrText>
      </w:r>
      <w:r>
        <w:rPr>
          <w:bCs/>
          <w:lang w:val="zh-CN"/>
        </w:rPr>
        <w:fldChar w:fldCharType="separate"/>
      </w:r>
      <w:r>
        <w:t xml:space="preserve">8 </w:t>
      </w:r>
      <w:r>
        <w:rPr>
          <w:rFonts w:hint="eastAsia"/>
        </w:rPr>
        <w:t>项目结题</w:t>
      </w:r>
      <w:r>
        <w:tab/>
      </w:r>
      <w:r>
        <w:fldChar w:fldCharType="begin"/>
      </w:r>
      <w:r>
        <w:instrText xml:space="preserve"> PAGEREF _Toc1800 \h </w:instrText>
      </w:r>
      <w:r>
        <w:fldChar w:fldCharType="separate"/>
      </w:r>
      <w:r>
        <w:t>11</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_Toc20445 </w:instrText>
      </w:r>
      <w:r>
        <w:rPr>
          <w:bCs/>
          <w:lang w:val="zh-CN"/>
        </w:rPr>
        <w:fldChar w:fldCharType="separate"/>
      </w:r>
      <w:r>
        <w:rPr>
          <w:rFonts w:ascii="宋体" w:hAnsi="宋体" w:eastAsia="宋体"/>
          <w:szCs w:val="28"/>
        </w:rPr>
        <w:t xml:space="preserve">8.1 </w:t>
      </w:r>
      <w:r>
        <w:rPr>
          <w:rFonts w:hint="eastAsia" w:ascii="宋体" w:hAnsi="宋体" w:eastAsia="宋体"/>
          <w:szCs w:val="28"/>
        </w:rPr>
        <w:t>项目结题审核</w:t>
      </w:r>
      <w:r>
        <w:tab/>
      </w:r>
      <w:r>
        <w:fldChar w:fldCharType="begin"/>
      </w:r>
      <w:r>
        <w:instrText xml:space="preserve"> PAGEREF _Toc20445 \h </w:instrText>
      </w:r>
      <w:r>
        <w:fldChar w:fldCharType="separate"/>
      </w:r>
      <w:r>
        <w:t>11</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_Toc17847 </w:instrText>
      </w:r>
      <w:r>
        <w:rPr>
          <w:bCs/>
          <w:lang w:val="zh-CN"/>
        </w:rPr>
        <w:fldChar w:fldCharType="separate"/>
      </w:r>
      <w:r>
        <w:rPr>
          <w:rFonts w:ascii="宋体" w:hAnsi="宋体" w:eastAsia="宋体"/>
          <w:szCs w:val="28"/>
        </w:rPr>
        <w:t xml:space="preserve">8.2 </w:t>
      </w:r>
      <w:r>
        <w:rPr>
          <w:rFonts w:hint="eastAsia" w:ascii="宋体" w:hAnsi="宋体" w:eastAsia="宋体"/>
          <w:szCs w:val="28"/>
        </w:rPr>
        <w:t>项目主管发起项目结题</w:t>
      </w:r>
      <w:r>
        <w:tab/>
      </w:r>
      <w:r>
        <w:fldChar w:fldCharType="begin"/>
      </w:r>
      <w:r>
        <w:instrText xml:space="preserve"> PAGEREF _Toc17847 \h </w:instrText>
      </w:r>
      <w:r>
        <w:fldChar w:fldCharType="separate"/>
      </w:r>
      <w:r>
        <w:t>11</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_Toc18635 </w:instrText>
      </w:r>
      <w:r>
        <w:rPr>
          <w:bCs/>
          <w:lang w:val="zh-CN"/>
        </w:rPr>
        <w:fldChar w:fldCharType="separate"/>
      </w:r>
      <w:r>
        <w:t xml:space="preserve">9 </w:t>
      </w:r>
      <w:r>
        <w:rPr>
          <w:rFonts w:hint="eastAsia"/>
          <w:lang w:val="en-US" w:eastAsia="zh-CN"/>
        </w:rPr>
        <w:t>批量变更项目状态</w:t>
      </w:r>
      <w:r>
        <w:tab/>
      </w:r>
      <w:r>
        <w:fldChar w:fldCharType="begin"/>
      </w:r>
      <w:r>
        <w:instrText xml:space="preserve"> PAGEREF _Toc18635 \h </w:instrText>
      </w:r>
      <w:r>
        <w:fldChar w:fldCharType="separate"/>
      </w:r>
      <w:r>
        <w:t>12</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_Toc20631 </w:instrText>
      </w:r>
      <w:r>
        <w:rPr>
          <w:bCs/>
          <w:lang w:val="zh-CN"/>
        </w:rPr>
        <w:fldChar w:fldCharType="separate"/>
      </w:r>
      <w:r>
        <w:rPr>
          <w:rFonts w:hint="default"/>
          <w:lang w:val="en-US" w:eastAsia="zh-CN"/>
        </w:rPr>
        <w:t xml:space="preserve">10 </w:t>
      </w:r>
      <w:r>
        <w:rPr>
          <w:rFonts w:hint="eastAsia"/>
          <w:lang w:val="en-US" w:eastAsia="zh-CN"/>
        </w:rPr>
        <w:t>批量结题</w:t>
      </w:r>
      <w:r>
        <w:tab/>
      </w:r>
      <w:r>
        <w:fldChar w:fldCharType="begin"/>
      </w:r>
      <w:r>
        <w:instrText xml:space="preserve"> PAGEREF _Toc20631 \h </w:instrText>
      </w:r>
      <w:r>
        <w:fldChar w:fldCharType="separate"/>
      </w:r>
      <w:r>
        <w:t>12</w:t>
      </w:r>
      <w:r>
        <w:fldChar w:fldCharType="end"/>
      </w:r>
      <w:r>
        <w:rPr>
          <w:bCs/>
          <w:lang w:val="zh-CN"/>
        </w:rPr>
        <w:fldChar w:fldCharType="end"/>
      </w:r>
    </w:p>
    <w:p>
      <w:r>
        <w:rPr>
          <w:bCs/>
          <w:lang w:val="zh-CN"/>
        </w:rPr>
        <w:fldChar w:fldCharType="end"/>
      </w:r>
    </w:p>
    <w:p/>
    <w:p>
      <w:pPr>
        <w:widowControl/>
        <w:jc w:val="left"/>
      </w:pPr>
      <w:r>
        <w:br w:type="page"/>
      </w:r>
    </w:p>
    <w:p>
      <w:pPr>
        <w:pStyle w:val="2"/>
        <w:numPr>
          <w:ilvl w:val="0"/>
          <w:numId w:val="2"/>
        </w:numPr>
        <w:snapToGrid w:val="0"/>
        <w:spacing w:before="960" w:line="400" w:lineRule="exact"/>
        <w:ind w:left="431" w:hanging="431"/>
      </w:pPr>
      <w:bookmarkStart w:id="0" w:name="_Toc61"/>
      <w:r>
        <w:rPr>
          <w:rFonts w:hint="eastAsia"/>
        </w:rPr>
        <w:t>引言</w:t>
      </w:r>
      <w:bookmarkEnd w:id="0"/>
    </w:p>
    <w:p>
      <w:pPr>
        <w:pStyle w:val="3"/>
        <w:numPr>
          <w:ilvl w:val="1"/>
          <w:numId w:val="2"/>
        </w:numPr>
        <w:spacing w:after="0" w:line="413" w:lineRule="auto"/>
        <w:ind w:left="578" w:hanging="578"/>
        <w:rPr>
          <w:rFonts w:ascii="宋体" w:hAnsi="宋体" w:eastAsia="宋体"/>
        </w:rPr>
      </w:pPr>
      <w:bookmarkStart w:id="1" w:name="_Toc19204"/>
      <w:r>
        <w:rPr>
          <w:rFonts w:hint="eastAsia" w:ascii="宋体" w:hAnsi="宋体" w:eastAsia="宋体"/>
        </w:rPr>
        <w:t>编写目的</w:t>
      </w:r>
      <w:bookmarkEnd w:id="1"/>
    </w:p>
    <w:p>
      <w:pPr>
        <w:spacing w:line="400" w:lineRule="exact"/>
        <w:ind w:left="105" w:leftChars="50" w:firstLine="525" w:firstLineChars="250"/>
        <w:rPr>
          <w:iCs/>
        </w:rPr>
      </w:pPr>
      <w:r>
        <w:rPr>
          <w:rFonts w:hint="eastAsia"/>
          <w:iCs/>
        </w:rPr>
        <w:t>为了使用户借助本手册的帮助，掌握</w:t>
      </w:r>
      <w:r>
        <w:rPr>
          <w:rFonts w:hint="eastAsia"/>
          <w:iCs/>
          <w:lang w:val="en-US" w:eastAsia="zh-CN"/>
        </w:rPr>
        <w:t>科研</w:t>
      </w:r>
      <w:bookmarkStart w:id="21" w:name="_GoBack"/>
      <w:bookmarkEnd w:id="21"/>
      <w:r>
        <w:rPr>
          <w:rFonts w:hint="eastAsia"/>
          <w:iCs/>
        </w:rPr>
        <w:t>项目管理系统的使用方法，熟悉系统的操作要点和操作注意事项。</w:t>
      </w:r>
    </w:p>
    <w:p>
      <w:pPr>
        <w:pStyle w:val="3"/>
        <w:numPr>
          <w:ilvl w:val="1"/>
          <w:numId w:val="2"/>
        </w:numPr>
        <w:spacing w:after="0" w:line="413" w:lineRule="auto"/>
        <w:ind w:left="578" w:hanging="578"/>
        <w:rPr>
          <w:rFonts w:ascii="宋体" w:hAnsi="宋体" w:eastAsia="宋体"/>
        </w:rPr>
      </w:pPr>
      <w:bookmarkStart w:id="2" w:name="_Toc28395"/>
      <w:r>
        <w:rPr>
          <w:rFonts w:hint="eastAsia" w:ascii="宋体" w:hAnsi="宋体" w:eastAsia="宋体"/>
        </w:rPr>
        <w:t>适用范围</w:t>
      </w:r>
      <w:bookmarkEnd w:id="2"/>
    </w:p>
    <w:p>
      <w:pPr>
        <w:spacing w:line="400" w:lineRule="exact"/>
        <w:ind w:left="105" w:leftChars="50" w:firstLine="525" w:firstLineChars="250"/>
      </w:pPr>
      <w:r>
        <w:rPr>
          <w:rFonts w:hint="eastAsia"/>
        </w:rPr>
        <w:t>使用本系统的项目业务主管。</w:t>
      </w:r>
    </w:p>
    <w:p>
      <w:pPr>
        <w:pStyle w:val="2"/>
        <w:numPr>
          <w:ilvl w:val="0"/>
          <w:numId w:val="2"/>
        </w:numPr>
        <w:snapToGrid w:val="0"/>
        <w:spacing w:before="960" w:line="400" w:lineRule="exact"/>
        <w:ind w:left="431" w:hanging="431"/>
      </w:pPr>
      <w:bookmarkStart w:id="3" w:name="_Toc4150"/>
      <w:r>
        <w:rPr>
          <w:rFonts w:hint="eastAsia"/>
        </w:rPr>
        <w:t>系统概述</w:t>
      </w:r>
      <w:bookmarkEnd w:id="3"/>
    </w:p>
    <w:p>
      <w:pPr>
        <w:pStyle w:val="3"/>
        <w:numPr>
          <w:ilvl w:val="1"/>
          <w:numId w:val="2"/>
        </w:numPr>
        <w:spacing w:after="0" w:line="413" w:lineRule="auto"/>
        <w:ind w:left="578" w:hanging="578"/>
        <w:rPr>
          <w:rFonts w:ascii="宋体" w:hAnsi="宋体" w:eastAsia="宋体"/>
          <w:sz w:val="28"/>
          <w:szCs w:val="28"/>
        </w:rPr>
      </w:pPr>
      <w:bookmarkStart w:id="4" w:name="_Toc30788"/>
      <w:r>
        <w:rPr>
          <w:rFonts w:hint="eastAsia" w:ascii="宋体" w:hAnsi="宋体" w:eastAsia="宋体"/>
          <w:sz w:val="28"/>
          <w:szCs w:val="28"/>
        </w:rPr>
        <w:t>系统简介</w:t>
      </w:r>
      <w:bookmarkEnd w:id="4"/>
    </w:p>
    <w:p>
      <w:pPr>
        <w:spacing w:line="400" w:lineRule="exact"/>
        <w:ind w:left="105" w:leftChars="50" w:firstLine="525" w:firstLineChars="250"/>
        <w:rPr>
          <w:rFonts w:hint="eastAsia"/>
          <w:iCs/>
        </w:rPr>
      </w:pPr>
      <w:r>
        <w:rPr>
          <w:rFonts w:hint="eastAsia"/>
          <w:iCs/>
        </w:rPr>
        <w:t>本次上线的是同济大学</w:t>
      </w:r>
      <w:r>
        <w:rPr>
          <w:rFonts w:hint="eastAsia"/>
          <w:iCs/>
          <w:lang w:val="en-US" w:eastAsia="zh-CN"/>
        </w:rPr>
        <w:t>横向项目、专利转化项目管理的模块，原横向项目数据迁移到本系统，横向和专利转化项目的立项、变更、经费认领、结题、结账都和纵向项目一样在科研系统中操作</w:t>
      </w:r>
      <w:r>
        <w:rPr>
          <w:rFonts w:hint="eastAsia"/>
          <w:iCs/>
        </w:rPr>
        <w:t>。</w:t>
      </w:r>
    </w:p>
    <w:p>
      <w:pPr>
        <w:spacing w:line="400" w:lineRule="exact"/>
        <w:ind w:left="105" w:leftChars="50" w:firstLine="525" w:firstLineChars="250"/>
        <w:rPr>
          <w:rFonts w:hint="eastAsia"/>
        </w:rPr>
      </w:pPr>
      <w:r>
        <w:rPr>
          <w:rFonts w:hint="eastAsia"/>
          <w:lang w:val="en-US" w:eastAsia="zh-CN"/>
        </w:rPr>
        <w:t>项目主管查询、统计项目，</w:t>
      </w:r>
      <w:r>
        <w:rPr>
          <w:rFonts w:hint="eastAsia"/>
        </w:rPr>
        <w:t>审核老师发起的项目立项、项目变更、项目结题</w:t>
      </w:r>
      <w:r>
        <w:rPr>
          <w:rFonts w:hint="eastAsia"/>
          <w:lang w:val="en-US" w:eastAsia="zh-CN"/>
        </w:rPr>
        <w:t>等流程</w:t>
      </w:r>
      <w:r>
        <w:rPr>
          <w:rFonts w:hint="eastAsia"/>
        </w:rPr>
        <w:t>。</w:t>
      </w:r>
    </w:p>
    <w:p>
      <w:pPr>
        <w:pStyle w:val="2"/>
        <w:numPr>
          <w:ilvl w:val="0"/>
          <w:numId w:val="2"/>
        </w:numPr>
      </w:pPr>
      <w:bookmarkStart w:id="5" w:name="_Toc17273"/>
      <w:r>
        <w:rPr>
          <w:rFonts w:hint="eastAsia"/>
        </w:rPr>
        <w:t>登录方式</w:t>
      </w:r>
      <w:bookmarkEnd w:id="5"/>
    </w:p>
    <w:tbl>
      <w:tblPr>
        <w:tblStyle w:val="10"/>
        <w:tblW w:w="8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6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trPr>
        <w:tc>
          <w:tcPr>
            <w:tcW w:w="2122" w:type="dxa"/>
            <w:shd w:val="clear" w:color="auto" w:fill="D9D9D9"/>
          </w:tcPr>
          <w:p>
            <w:pPr>
              <w:spacing w:after="120"/>
              <w:rPr>
                <w:rFonts w:cs="Arial"/>
                <w:szCs w:val="21"/>
              </w:rPr>
            </w:pPr>
            <w:r>
              <w:rPr>
                <w:rFonts w:hint="eastAsia" w:cs="Arial"/>
                <w:szCs w:val="21"/>
              </w:rPr>
              <w:t>系统地址</w:t>
            </w:r>
          </w:p>
        </w:tc>
        <w:tc>
          <w:tcPr>
            <w:tcW w:w="6378" w:type="dxa"/>
          </w:tcPr>
          <w:p>
            <w:pPr>
              <w:autoSpaceDE w:val="0"/>
              <w:autoSpaceDN w:val="0"/>
              <w:adjustRightInd w:val="0"/>
              <w:jc w:val="left"/>
              <w:rPr>
                <w:rFonts w:cs="Arial"/>
                <w:iCs/>
                <w:szCs w:val="21"/>
              </w:rPr>
            </w:pPr>
            <w:r>
              <w:rPr>
                <w:rFonts w:hint="eastAsia" w:ascii="宋体" w:hAnsi="宋体" w:cs="宋体"/>
                <w:sz w:val="24"/>
                <w:szCs w:val="24"/>
                <w:lang w:val="en-US" w:eastAsia="zh-CN"/>
              </w:rPr>
              <w:t>ky.tongji.edu.cn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122" w:type="dxa"/>
            <w:shd w:val="clear" w:color="auto" w:fill="D9D9D9"/>
          </w:tcPr>
          <w:p>
            <w:pPr>
              <w:spacing w:after="120"/>
              <w:rPr>
                <w:rFonts w:cs="Arial"/>
                <w:szCs w:val="21"/>
              </w:rPr>
            </w:pPr>
            <w:r>
              <w:rPr>
                <w:rFonts w:hint="eastAsia" w:cs="Arial"/>
                <w:szCs w:val="21"/>
              </w:rPr>
              <w:t>账号</w:t>
            </w:r>
          </w:p>
        </w:tc>
        <w:tc>
          <w:tcPr>
            <w:tcW w:w="6378" w:type="dxa"/>
          </w:tcPr>
          <w:p>
            <w:pPr>
              <w:spacing w:after="120"/>
              <w:rPr>
                <w:rFonts w:hint="default" w:eastAsia="宋体" w:cs="Arial"/>
                <w:iCs/>
                <w:szCs w:val="21"/>
                <w:lang w:val="en-US" w:eastAsia="zh-CN"/>
              </w:rPr>
            </w:pPr>
            <w:r>
              <w:rPr>
                <w:rFonts w:hint="eastAsia" w:cs="Arial"/>
                <w:iCs/>
                <w:szCs w:val="21"/>
                <w:lang w:val="en-US" w:eastAsia="zh-CN"/>
              </w:rPr>
              <w:t>工号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122" w:type="dxa"/>
            <w:shd w:val="clear" w:color="auto" w:fill="D9D9D9"/>
          </w:tcPr>
          <w:p>
            <w:pPr>
              <w:spacing w:after="120"/>
              <w:rPr>
                <w:rFonts w:cs="Arial"/>
                <w:szCs w:val="21"/>
              </w:rPr>
            </w:pPr>
            <w:r>
              <w:rPr>
                <w:rFonts w:hint="eastAsia" w:cs="Arial"/>
                <w:szCs w:val="21"/>
              </w:rPr>
              <w:t>说明</w:t>
            </w:r>
          </w:p>
        </w:tc>
        <w:tc>
          <w:tcPr>
            <w:tcW w:w="6378" w:type="dxa"/>
          </w:tcPr>
          <w:p>
            <w:pPr>
              <w:spacing w:after="120"/>
              <w:rPr>
                <w:rFonts w:hint="default" w:cs="Arial"/>
                <w:iCs/>
                <w:szCs w:val="21"/>
                <w:lang w:val="en-US" w:eastAsia="zh-CN"/>
              </w:rPr>
            </w:pPr>
            <w:r>
              <w:rPr>
                <w:rFonts w:hint="eastAsia" w:cs="Arial"/>
                <w:iCs/>
                <w:szCs w:val="21"/>
                <w:lang w:val="en-US" w:eastAsia="zh-CN"/>
              </w:rPr>
              <w:t>使用统一身份认证登录</w:t>
            </w:r>
          </w:p>
        </w:tc>
      </w:tr>
    </w:tbl>
    <w:p>
      <w:pPr>
        <w:pageBreakBefore w:val="0"/>
        <w:widowControl w:val="0"/>
        <w:numPr>
          <w:ilvl w:val="0"/>
          <w:numId w:val="0"/>
        </w:numPr>
        <w:tabs>
          <w:tab w:val="left" w:pos="855"/>
        </w:tabs>
        <w:kinsoku/>
        <w:wordWrap/>
        <w:overflowPunct/>
        <w:topLinePunct w:val="0"/>
        <w:autoSpaceDE/>
        <w:autoSpaceDN/>
        <w:bidi w:val="0"/>
        <w:adjustRightInd/>
        <w:snapToGrid/>
        <w:ind w:leftChars="0"/>
        <w:jc w:val="center"/>
        <w:textAlignment w:val="auto"/>
        <w:outlineLvl w:val="9"/>
      </w:pPr>
      <w:r>
        <w:drawing>
          <wp:inline distT="0" distB="0" distL="114300" distR="114300">
            <wp:extent cx="2737485" cy="3021965"/>
            <wp:effectExtent l="0" t="0" r="5715" b="698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5"/>
                    <a:stretch>
                      <a:fillRect/>
                    </a:stretch>
                  </pic:blipFill>
                  <pic:spPr>
                    <a:xfrm>
                      <a:off x="0" y="0"/>
                      <a:ext cx="2737485" cy="3021965"/>
                    </a:xfrm>
                    <a:prstGeom prst="rect">
                      <a:avLst/>
                    </a:prstGeom>
                    <a:noFill/>
                    <a:ln>
                      <a:noFill/>
                    </a:ln>
                  </pic:spPr>
                </pic:pic>
              </a:graphicData>
            </a:graphic>
          </wp:inline>
        </w:drawing>
      </w:r>
    </w:p>
    <w:p>
      <w:pPr>
        <w:pageBreakBefore w:val="0"/>
        <w:widowControl w:val="0"/>
        <w:kinsoku/>
        <w:wordWrap/>
        <w:overflowPunct/>
        <w:topLinePunct w:val="0"/>
        <w:autoSpaceDE/>
        <w:autoSpaceDN/>
        <w:bidi w:val="0"/>
        <w:adjustRightInd/>
        <w:snapToGrid/>
        <w:textAlignment w:val="auto"/>
        <w:outlineLvl w:val="9"/>
      </w:pPr>
      <w:r>
        <w:drawing>
          <wp:inline distT="0" distB="0" distL="114300" distR="114300">
            <wp:extent cx="5265420" cy="1651635"/>
            <wp:effectExtent l="0" t="0" r="1143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65420" cy="1651635"/>
                    </a:xfrm>
                    <a:prstGeom prst="rect">
                      <a:avLst/>
                    </a:prstGeom>
                    <a:noFill/>
                    <a:ln>
                      <a:noFill/>
                    </a:ln>
                  </pic:spPr>
                </pic:pic>
              </a:graphicData>
            </a:graphic>
          </wp:inline>
        </w:drawing>
      </w:r>
    </w:p>
    <w:p>
      <w:pPr>
        <w:pStyle w:val="2"/>
        <w:keepNext/>
        <w:keepLines/>
        <w:pageBreakBefore w:val="0"/>
        <w:widowControl w:val="0"/>
        <w:numPr>
          <w:ilvl w:val="0"/>
          <w:numId w:val="2"/>
        </w:numPr>
        <w:kinsoku/>
        <w:wordWrap/>
        <w:overflowPunct/>
        <w:topLinePunct w:val="0"/>
        <w:autoSpaceDE/>
        <w:autoSpaceDN/>
        <w:bidi w:val="0"/>
        <w:adjustRightInd/>
        <w:snapToGrid/>
        <w:spacing w:after="240"/>
        <w:ind w:left="431" w:hanging="431"/>
        <w:textAlignment w:val="auto"/>
      </w:pPr>
      <w:bookmarkStart w:id="6" w:name="_Toc25130"/>
      <w:r>
        <w:rPr>
          <w:rFonts w:hint="eastAsia"/>
          <w:lang w:val="en-US" w:eastAsia="zh-CN"/>
        </w:rPr>
        <w:t>角色说明</w:t>
      </w:r>
      <w:bookmarkEnd w:id="6"/>
    </w:p>
    <w:p>
      <w:pPr>
        <w:rPr>
          <w:rFonts w:hint="default" w:eastAsia="宋体"/>
          <w:lang w:val="en-US" w:eastAsia="zh-CN"/>
        </w:rPr>
      </w:pPr>
      <w:r>
        <w:rPr>
          <w:rFonts w:hint="eastAsia"/>
          <w:lang w:val="en-US" w:eastAsia="zh-CN"/>
        </w:rPr>
        <w:t>纵向项目科管部审批只有“项目主管”角色；横向项目合并入纵向系统后科管部三级审批人在系统中的角色都是“项目主管”，流程审批时仍然按三级审批。</w:t>
      </w:r>
    </w:p>
    <w:p>
      <w:pPr>
        <w:jc w:val="center"/>
      </w:pPr>
      <w:r>
        <w:drawing>
          <wp:inline distT="0" distB="0" distL="114300" distR="114300">
            <wp:extent cx="2226945" cy="1049020"/>
            <wp:effectExtent l="0" t="0" r="1905" b="177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2226945" cy="1049020"/>
                    </a:xfrm>
                    <a:prstGeom prst="rect">
                      <a:avLst/>
                    </a:prstGeom>
                    <a:noFill/>
                    <a:ln>
                      <a:noFill/>
                    </a:ln>
                  </pic:spPr>
                </pic:pic>
              </a:graphicData>
            </a:graphic>
          </wp:inline>
        </w:drawing>
      </w:r>
    </w:p>
    <w:p>
      <w:pPr>
        <w:pStyle w:val="2"/>
        <w:keepNext/>
        <w:keepLines/>
        <w:pageBreakBefore w:val="0"/>
        <w:widowControl w:val="0"/>
        <w:numPr>
          <w:ilvl w:val="0"/>
          <w:numId w:val="2"/>
        </w:numPr>
        <w:kinsoku/>
        <w:wordWrap/>
        <w:overflowPunct/>
        <w:topLinePunct w:val="0"/>
        <w:autoSpaceDE/>
        <w:autoSpaceDN/>
        <w:bidi w:val="0"/>
        <w:adjustRightInd/>
        <w:snapToGrid/>
        <w:spacing w:after="240"/>
        <w:ind w:left="431" w:hanging="431"/>
        <w:textAlignment w:val="auto"/>
      </w:pPr>
      <w:bookmarkStart w:id="7" w:name="_Toc9686"/>
      <w:r>
        <w:rPr>
          <w:rFonts w:hint="eastAsia"/>
        </w:rPr>
        <w:t>审批规则</w:t>
      </w:r>
      <w:bookmarkEnd w:id="7"/>
    </w:p>
    <w:p>
      <w:pPr>
        <w:pStyle w:val="20"/>
        <w:numPr>
          <w:ilvl w:val="0"/>
          <w:numId w:val="3"/>
        </w:numPr>
        <w:ind w:firstLineChars="0"/>
      </w:pPr>
      <w:r>
        <w:rPr>
          <w:rFonts w:hint="eastAsia"/>
          <w:lang w:val="en-US" w:eastAsia="zh-CN"/>
        </w:rPr>
        <w:t>纵向项目一个项目类别设置多个项目主管时</w:t>
      </w:r>
      <w:r>
        <w:rPr>
          <w:rFonts w:hint="eastAsia"/>
        </w:rPr>
        <w:t>科管部审批环节是“或签”，即如果环节审批人是多人，其中任意一人审批之后流程就到</w:t>
      </w:r>
      <w:r>
        <w:rPr>
          <w:rFonts w:hint="eastAsia"/>
          <w:lang w:val="en-US" w:eastAsia="zh-CN"/>
        </w:rPr>
        <w:t>下一</w:t>
      </w:r>
      <w:r>
        <w:rPr>
          <w:rFonts w:hint="eastAsia"/>
        </w:rPr>
        <w:t>环节</w:t>
      </w:r>
      <w:r>
        <w:rPr>
          <w:rFonts w:hint="eastAsia"/>
          <w:lang w:eastAsia="zh-CN"/>
        </w:rPr>
        <w:t>；</w:t>
      </w:r>
    </w:p>
    <w:p>
      <w:pPr>
        <w:pStyle w:val="20"/>
        <w:numPr>
          <w:ilvl w:val="0"/>
          <w:numId w:val="3"/>
        </w:numPr>
        <w:ind w:firstLineChars="0"/>
      </w:pPr>
      <w:r>
        <w:rPr>
          <w:rFonts w:hint="eastAsia"/>
          <w:lang w:val="en-US" w:eastAsia="zh-CN"/>
        </w:rPr>
        <w:t>横向项目按项目金额分级审核；</w:t>
      </w:r>
    </w:p>
    <w:p>
      <w:pPr>
        <w:pStyle w:val="20"/>
        <w:ind w:left="360" w:firstLine="0" w:firstLineChars="0"/>
        <w:jc w:val="center"/>
        <w:rPr>
          <w:rFonts w:hint="eastAsia"/>
        </w:rPr>
      </w:pPr>
      <w:r>
        <w:drawing>
          <wp:inline distT="0" distB="0" distL="114300" distR="114300">
            <wp:extent cx="4267200" cy="4458970"/>
            <wp:effectExtent l="0" t="0" r="0" b="1778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8"/>
                    <a:stretch>
                      <a:fillRect/>
                    </a:stretch>
                  </pic:blipFill>
                  <pic:spPr>
                    <a:xfrm>
                      <a:off x="0" y="0"/>
                      <a:ext cx="4267200" cy="4458970"/>
                    </a:xfrm>
                    <a:prstGeom prst="rect">
                      <a:avLst/>
                    </a:prstGeom>
                    <a:noFill/>
                    <a:ln>
                      <a:noFill/>
                    </a:ln>
                  </pic:spPr>
                </pic:pic>
              </a:graphicData>
            </a:graphic>
          </wp:inline>
        </w:drawing>
      </w:r>
    </w:p>
    <w:p>
      <w:pPr>
        <w:pStyle w:val="20"/>
        <w:numPr>
          <w:ilvl w:val="0"/>
          <w:numId w:val="3"/>
        </w:numPr>
        <w:ind w:firstLineChars="0"/>
      </w:pPr>
      <w:r>
        <w:rPr>
          <w:rFonts w:hint="eastAsia"/>
        </w:rPr>
        <w:t>操作按钮说明</w:t>
      </w:r>
    </w:p>
    <w:p>
      <w:pPr>
        <w:pStyle w:val="20"/>
        <w:ind w:left="360" w:firstLine="0" w:firstLineChars="0"/>
      </w:pPr>
      <w:r>
        <w:rPr>
          <w:rFonts w:hint="eastAsia"/>
          <w:b/>
          <w:bCs/>
        </w:rPr>
        <w:t>同意：</w:t>
      </w:r>
      <w:r>
        <w:rPr>
          <w:rFonts w:hint="eastAsia"/>
        </w:rPr>
        <w:t>审核同意，提交后流程进入下一环节；</w:t>
      </w:r>
    </w:p>
    <w:p>
      <w:pPr>
        <w:pStyle w:val="20"/>
        <w:ind w:left="360" w:firstLine="0" w:firstLineChars="0"/>
      </w:pPr>
      <w:r>
        <w:rPr>
          <w:rFonts w:hint="eastAsia"/>
          <w:b/>
          <w:bCs/>
        </w:rPr>
        <w:t>加签：</w:t>
      </w:r>
      <w:r>
        <w:rPr>
          <w:rFonts w:hint="eastAsia"/>
        </w:rPr>
        <w:t>审核同意，在下一环节审批人审批之前增加额外的审批人；</w:t>
      </w:r>
    </w:p>
    <w:p>
      <w:pPr>
        <w:pStyle w:val="20"/>
        <w:ind w:left="360" w:firstLine="0" w:firstLineChars="0"/>
      </w:pPr>
      <w:r>
        <w:rPr>
          <w:rFonts w:hint="eastAsia"/>
          <w:b/>
          <w:bCs/>
        </w:rPr>
        <w:t>转办：</w:t>
      </w:r>
      <w:r>
        <w:rPr>
          <w:rFonts w:hint="eastAsia"/>
        </w:rPr>
        <w:t>提交下一环节审批人之前转交他们办理；</w:t>
      </w:r>
    </w:p>
    <w:p>
      <w:pPr>
        <w:pStyle w:val="20"/>
        <w:ind w:left="360" w:firstLine="0" w:firstLineChars="0"/>
      </w:pPr>
      <w:r>
        <w:rPr>
          <w:rFonts w:hint="eastAsia"/>
          <w:b/>
          <w:bCs/>
        </w:rPr>
        <w:t>退回：</w:t>
      </w:r>
      <w:r>
        <w:rPr>
          <w:rFonts w:hint="eastAsia"/>
        </w:rPr>
        <w:t>审批不同意，退回发起人；</w:t>
      </w:r>
    </w:p>
    <w:p>
      <w:pPr>
        <w:pStyle w:val="20"/>
        <w:ind w:left="360" w:firstLine="0" w:firstLineChars="0"/>
        <w:rPr>
          <w:rFonts w:hint="eastAsia"/>
        </w:rPr>
      </w:pPr>
      <w:r>
        <w:rPr>
          <w:rFonts w:hint="eastAsia"/>
          <w:b/>
          <w:bCs/>
        </w:rPr>
        <w:t>终止流程：</w:t>
      </w:r>
      <w:r>
        <w:rPr>
          <w:rFonts w:hint="eastAsia"/>
        </w:rPr>
        <w:t>终止后流程不再继续流转。</w:t>
      </w:r>
    </w:p>
    <w:p>
      <w:pPr>
        <w:pStyle w:val="2"/>
        <w:keepNext/>
        <w:keepLines/>
        <w:pageBreakBefore w:val="0"/>
        <w:widowControl w:val="0"/>
        <w:numPr>
          <w:ilvl w:val="0"/>
          <w:numId w:val="2"/>
        </w:numPr>
        <w:kinsoku/>
        <w:wordWrap/>
        <w:overflowPunct/>
        <w:topLinePunct w:val="0"/>
        <w:autoSpaceDE/>
        <w:autoSpaceDN/>
        <w:bidi w:val="0"/>
        <w:adjustRightInd/>
        <w:snapToGrid/>
        <w:spacing w:after="240"/>
        <w:ind w:left="431" w:hanging="431"/>
        <w:textAlignment w:val="auto"/>
        <w:rPr>
          <w:rFonts w:hint="eastAsia"/>
        </w:rPr>
      </w:pPr>
      <w:bookmarkStart w:id="8" w:name="_Toc22919"/>
      <w:r>
        <w:rPr>
          <w:rFonts w:hint="eastAsia"/>
        </w:rPr>
        <w:t>项目立项</w:t>
      </w:r>
      <w:bookmarkEnd w:id="8"/>
    </w:p>
    <w:p>
      <w:pPr>
        <w:pStyle w:val="3"/>
        <w:numPr>
          <w:ilvl w:val="1"/>
          <w:numId w:val="2"/>
        </w:numPr>
        <w:spacing w:after="0" w:line="413" w:lineRule="auto"/>
        <w:ind w:left="578" w:hanging="578"/>
        <w:rPr>
          <w:rFonts w:ascii="宋体" w:hAnsi="宋体" w:eastAsia="宋体"/>
          <w:sz w:val="28"/>
          <w:szCs w:val="28"/>
        </w:rPr>
      </w:pPr>
      <w:bookmarkStart w:id="9" w:name="_Toc26761"/>
      <w:r>
        <w:rPr>
          <w:rFonts w:hint="eastAsia" w:ascii="宋体" w:hAnsi="宋体" w:eastAsia="宋体"/>
          <w:sz w:val="28"/>
          <w:szCs w:val="28"/>
          <w:lang w:val="en-US" w:eastAsia="zh-CN"/>
        </w:rPr>
        <w:t>纵向</w:t>
      </w:r>
      <w:r>
        <w:rPr>
          <w:rFonts w:hint="eastAsia" w:ascii="宋体" w:hAnsi="宋体" w:eastAsia="宋体"/>
          <w:sz w:val="28"/>
          <w:szCs w:val="28"/>
        </w:rPr>
        <w:t>项目立项审核</w:t>
      </w:r>
      <w:bookmarkEnd w:id="9"/>
    </w:p>
    <w:p>
      <w:pPr>
        <w:rPr>
          <w:rFonts w:hint="eastAsia"/>
          <w:lang w:eastAsia="zh-CN"/>
        </w:rPr>
      </w:pPr>
      <w:r>
        <w:rPr>
          <w:rFonts w:hint="eastAsia"/>
        </w:rPr>
        <w:t>项目主管在审核立项流程时</w:t>
      </w:r>
      <w:r>
        <w:rPr>
          <w:rFonts w:hint="eastAsia"/>
          <w:lang w:val="en-US" w:eastAsia="zh-CN"/>
        </w:rPr>
        <w:t>除了能项目负责人一样编辑项目信息还</w:t>
      </w:r>
      <w:r>
        <w:rPr>
          <w:rFonts w:hint="eastAsia"/>
        </w:rPr>
        <w:t>能编辑间接经费明细</w:t>
      </w:r>
      <w:r>
        <w:rPr>
          <w:rFonts w:hint="eastAsia"/>
          <w:lang w:eastAsia="zh-CN"/>
        </w:rPr>
        <w:t>，</w:t>
      </w:r>
    </w:p>
    <w:p>
      <w:pPr>
        <w:rPr>
          <w:rFonts w:hint="default"/>
          <w:lang w:val="en-US" w:eastAsia="zh-CN"/>
        </w:rPr>
      </w:pPr>
      <w:r>
        <w:rPr>
          <w:rFonts w:hint="eastAsia"/>
          <w:lang w:val="en-US" w:eastAsia="zh-CN"/>
        </w:rPr>
        <w:t>与之前不同的是，为了避免之前的计算间接费出错问题，现在输入金额过程中不做计算，是输入以后点“获取提扣方案”才会触发自动计算。</w:t>
      </w:r>
    </w:p>
    <w:p>
      <w:r>
        <w:drawing>
          <wp:inline distT="0" distB="0" distL="114300" distR="114300">
            <wp:extent cx="5272405" cy="3330575"/>
            <wp:effectExtent l="0" t="0" r="4445" b="317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9"/>
                    <a:stretch>
                      <a:fillRect/>
                    </a:stretch>
                  </pic:blipFill>
                  <pic:spPr>
                    <a:xfrm>
                      <a:off x="0" y="0"/>
                      <a:ext cx="5272405" cy="3330575"/>
                    </a:xfrm>
                    <a:prstGeom prst="rect">
                      <a:avLst/>
                    </a:prstGeom>
                    <a:noFill/>
                    <a:ln>
                      <a:noFill/>
                    </a:ln>
                  </pic:spPr>
                </pic:pic>
              </a:graphicData>
            </a:graphic>
          </wp:inline>
        </w:drawing>
      </w:r>
    </w:p>
    <w:p/>
    <w:p>
      <w:pPr>
        <w:rPr>
          <w:rFonts w:hint="eastAsia"/>
          <w:b/>
          <w:bCs/>
          <w:lang w:val="en-US" w:eastAsia="zh-CN"/>
        </w:rPr>
      </w:pPr>
      <w:r>
        <w:rPr>
          <w:rFonts w:hint="eastAsia"/>
          <w:b/>
          <w:bCs/>
          <w:lang w:val="en-US" w:eastAsia="zh-CN"/>
        </w:rPr>
        <w:t>如果提扣方案要使用其它方案，要注意的是系统取消了边输入金额边计算的功能，是在金额输入之后点回车触发计算来避免之前边输入边计算造成金额计算出错的问题：</w:t>
      </w:r>
    </w:p>
    <w:p>
      <w:pPr>
        <w:rPr>
          <w:rFonts w:hint="default"/>
          <w:lang w:val="en-US" w:eastAsia="zh-CN"/>
        </w:rPr>
      </w:pPr>
      <w:r>
        <w:drawing>
          <wp:inline distT="0" distB="0" distL="114300" distR="114300">
            <wp:extent cx="5266690" cy="1854835"/>
            <wp:effectExtent l="9525" t="9525" r="19685" b="2159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0"/>
                    <a:stretch>
                      <a:fillRect/>
                    </a:stretch>
                  </pic:blipFill>
                  <pic:spPr>
                    <a:xfrm>
                      <a:off x="0" y="0"/>
                      <a:ext cx="5266690" cy="1854835"/>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0" w:name="_Toc2741"/>
      <w:r>
        <w:rPr>
          <w:rFonts w:hint="eastAsia" w:ascii="宋体" w:hAnsi="宋体" w:eastAsia="宋体"/>
          <w:sz w:val="28"/>
          <w:szCs w:val="28"/>
          <w:lang w:val="en-US" w:eastAsia="zh-CN"/>
        </w:rPr>
        <w:t>横向项目立项审核</w:t>
      </w:r>
      <w:bookmarkEnd w:id="10"/>
    </w:p>
    <w:p>
      <w:pPr>
        <w:rPr>
          <w:rFonts w:hint="eastAsia"/>
          <w:lang w:val="en-US" w:eastAsia="zh-CN"/>
        </w:rPr>
      </w:pPr>
      <w:r>
        <w:rPr>
          <w:rFonts w:hint="eastAsia"/>
          <w:lang w:val="en-US" w:eastAsia="zh-CN"/>
        </w:rPr>
        <w:t>科管部审核横向项目时是项目业务负责人、项目业务主管、项目业务员三级审核</w:t>
      </w:r>
    </w:p>
    <w:p>
      <w:pPr>
        <w:rPr>
          <w:rFonts w:hint="eastAsia"/>
          <w:lang w:val="en-US" w:eastAsia="zh-CN"/>
        </w:rPr>
      </w:pPr>
      <w:r>
        <w:rPr>
          <w:rFonts w:hint="eastAsia"/>
          <w:lang w:val="en-US" w:eastAsia="zh-CN"/>
        </w:rPr>
        <w:t>三级审核人都可以修改表单信息</w:t>
      </w:r>
    </w:p>
    <w:p>
      <w:pPr>
        <w:rPr>
          <w:rFonts w:hint="default"/>
          <w:lang w:val="en-US" w:eastAsia="zh-CN"/>
        </w:rPr>
      </w:pPr>
      <w:r>
        <w:rPr>
          <w:rFonts w:hint="eastAsia"/>
          <w:lang w:val="en-US" w:eastAsia="zh-CN"/>
        </w:rPr>
        <w:t>编辑外协单位信息及外协附件见下图：</w:t>
      </w:r>
    </w:p>
    <w:p>
      <w:r>
        <w:drawing>
          <wp:inline distT="0" distB="0" distL="114300" distR="114300">
            <wp:extent cx="5259070" cy="2406015"/>
            <wp:effectExtent l="9525" t="9525" r="27305" b="2286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5259070" cy="2406015"/>
                    </a:xfrm>
                    <a:prstGeom prst="rect">
                      <a:avLst/>
                    </a:prstGeom>
                    <a:noFill/>
                    <a:ln>
                      <a:solidFill>
                        <a:srgbClr val="0000FF"/>
                      </a:solidFill>
                    </a:ln>
                  </pic:spPr>
                </pic:pic>
              </a:graphicData>
            </a:graphic>
          </wp:inline>
        </w:drawing>
      </w:r>
    </w:p>
    <w:p>
      <w:r>
        <w:drawing>
          <wp:inline distT="0" distB="0" distL="114300" distR="114300">
            <wp:extent cx="5273675" cy="1144905"/>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
                    <a:srcRect b="24084"/>
                    <a:stretch>
                      <a:fillRect/>
                    </a:stretch>
                  </pic:blipFill>
                  <pic:spPr>
                    <a:xfrm>
                      <a:off x="0" y="0"/>
                      <a:ext cx="5273675" cy="1144905"/>
                    </a:xfrm>
                    <a:prstGeom prst="rect">
                      <a:avLst/>
                    </a:prstGeom>
                    <a:noFill/>
                    <a:ln>
                      <a:solidFill>
                        <a:srgbClr val="0000FF"/>
                      </a:solidFill>
                    </a:ln>
                  </pic:spPr>
                </pic:pic>
              </a:graphicData>
            </a:graphic>
          </wp:inline>
        </w:drawing>
      </w:r>
    </w:p>
    <w:p>
      <w:pPr>
        <w:rPr>
          <w:rFonts w:hint="default" w:eastAsia="宋体"/>
          <w:lang w:val="en-US" w:eastAsia="zh-CN"/>
        </w:rPr>
      </w:pPr>
      <w:r>
        <w:rPr>
          <w:rFonts w:hint="eastAsia"/>
          <w:lang w:val="en-US" w:eastAsia="zh-CN"/>
        </w:rPr>
        <w:t>项目附件在表单底部</w:t>
      </w:r>
    </w:p>
    <w:p>
      <w:pPr>
        <w:rPr>
          <w:rFonts w:hint="eastAsia"/>
          <w:lang w:val="en-US" w:eastAsia="zh-CN"/>
        </w:rPr>
      </w:pPr>
      <w:r>
        <w:drawing>
          <wp:inline distT="0" distB="0" distL="114300" distR="114300">
            <wp:extent cx="5272405" cy="1635760"/>
            <wp:effectExtent l="9525" t="9525" r="13970" b="1206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3"/>
                    <a:stretch>
                      <a:fillRect/>
                    </a:stretch>
                  </pic:blipFill>
                  <pic:spPr>
                    <a:xfrm>
                      <a:off x="0" y="0"/>
                      <a:ext cx="5272405" cy="1635760"/>
                    </a:xfrm>
                    <a:prstGeom prst="rect">
                      <a:avLst/>
                    </a:prstGeom>
                    <a:noFill/>
                    <a:ln>
                      <a:solidFill>
                        <a:srgbClr val="0000FF"/>
                      </a:solidFill>
                    </a:ln>
                  </pic:spPr>
                </pic:pic>
              </a:graphicData>
            </a:graphic>
          </wp:inline>
        </w:drawing>
      </w:r>
    </w:p>
    <w:p>
      <w:pPr>
        <w:rPr>
          <w:rFonts w:hint="eastAsia"/>
          <w:lang w:val="en-US" w:eastAsia="zh-CN"/>
        </w:rPr>
      </w:pPr>
      <w:r>
        <w:rPr>
          <w:rFonts w:hint="eastAsia"/>
          <w:lang w:val="en-US" w:eastAsia="zh-CN"/>
        </w:rPr>
        <w:t>系统根据项目大类和项目金额自动判断最终审核人，由最终审批人生成水印和选择是否公示。公示期间不允许提交到下一步</w:t>
      </w:r>
    </w:p>
    <w:p>
      <w:pPr>
        <w:rPr>
          <w:rFonts w:hint="default"/>
          <w:lang w:val="en-US" w:eastAsia="zh-CN"/>
        </w:rPr>
      </w:pPr>
      <w:r>
        <w:drawing>
          <wp:inline distT="0" distB="0" distL="114300" distR="114300">
            <wp:extent cx="5270500" cy="2582545"/>
            <wp:effectExtent l="9525" t="9525" r="15875" b="1778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a:stretch>
                      <a:fillRect/>
                    </a:stretch>
                  </pic:blipFill>
                  <pic:spPr>
                    <a:xfrm>
                      <a:off x="0" y="0"/>
                      <a:ext cx="5270500" cy="2582545"/>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1" w:name="_Toc3658"/>
      <w:r>
        <w:rPr>
          <w:rFonts w:hint="eastAsia" w:ascii="宋体" w:hAnsi="宋体" w:eastAsia="宋体"/>
          <w:sz w:val="28"/>
          <w:szCs w:val="28"/>
          <w:lang w:val="en-US" w:eastAsia="zh-CN"/>
        </w:rPr>
        <w:t>专利转化项目立项审核</w:t>
      </w:r>
      <w:bookmarkEnd w:id="11"/>
    </w:p>
    <w:p>
      <w:pPr>
        <w:rPr>
          <w:rFonts w:hint="eastAsia"/>
          <w:lang w:val="en-US" w:eastAsia="zh-CN"/>
        </w:rPr>
      </w:pPr>
      <w:r>
        <w:rPr>
          <w:rFonts w:hint="eastAsia"/>
          <w:lang w:val="en-US" w:eastAsia="zh-CN"/>
        </w:rPr>
        <w:t>科管部审核专利转化项目时可以编辑表单信息</w:t>
      </w:r>
    </w:p>
    <w:p>
      <w:r>
        <w:drawing>
          <wp:inline distT="0" distB="0" distL="114300" distR="114300">
            <wp:extent cx="5269230" cy="3134995"/>
            <wp:effectExtent l="9525" t="9525" r="17145" b="1778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5"/>
                    <a:stretch>
                      <a:fillRect/>
                    </a:stretch>
                  </pic:blipFill>
                  <pic:spPr>
                    <a:xfrm>
                      <a:off x="0" y="0"/>
                      <a:ext cx="5269230" cy="3134995"/>
                    </a:xfrm>
                    <a:prstGeom prst="rect">
                      <a:avLst/>
                    </a:prstGeom>
                    <a:noFill/>
                    <a:ln>
                      <a:solidFill>
                        <a:srgbClr val="0000FF"/>
                      </a:solidFill>
                    </a:ln>
                  </pic:spPr>
                </pic:pic>
              </a:graphicData>
            </a:graphic>
          </wp:inline>
        </w:drawing>
      </w:r>
    </w:p>
    <w:p>
      <w:pPr>
        <w:rPr>
          <w:rFonts w:hint="eastAsia"/>
          <w:lang w:val="en-US" w:eastAsia="zh-CN"/>
        </w:rPr>
      </w:pPr>
      <w:r>
        <w:rPr>
          <w:rFonts w:hint="eastAsia"/>
          <w:lang w:val="en-US" w:eastAsia="zh-CN"/>
        </w:rPr>
        <w:t>科管部业务员审核环节同横向合同审核一样，要生成带水印合同</w:t>
      </w:r>
    </w:p>
    <w:p>
      <w:pPr>
        <w:rPr>
          <w:rFonts w:hint="default"/>
          <w:lang w:val="en-US" w:eastAsia="zh-CN"/>
        </w:rPr>
      </w:pPr>
      <w:r>
        <w:drawing>
          <wp:inline distT="0" distB="0" distL="114300" distR="114300">
            <wp:extent cx="5263515" cy="1016000"/>
            <wp:effectExtent l="9525" t="9525" r="22860" b="2222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6"/>
                    <a:stretch>
                      <a:fillRect/>
                    </a:stretch>
                  </pic:blipFill>
                  <pic:spPr>
                    <a:xfrm>
                      <a:off x="0" y="0"/>
                      <a:ext cx="5263515" cy="1016000"/>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2" w:name="_Toc32304"/>
      <w:r>
        <w:rPr>
          <w:rFonts w:hint="eastAsia" w:ascii="宋体" w:hAnsi="宋体" w:eastAsia="宋体"/>
          <w:sz w:val="28"/>
          <w:szCs w:val="28"/>
          <w:lang w:val="en-US" w:eastAsia="zh-CN"/>
        </w:rPr>
        <w:t>专用项目立项审核</w:t>
      </w:r>
      <w:bookmarkEnd w:id="12"/>
    </w:p>
    <w:p>
      <w:pPr>
        <w:rPr>
          <w:rFonts w:hint="eastAsia"/>
          <w:lang w:val="en-US" w:eastAsia="zh-CN"/>
        </w:rPr>
      </w:pPr>
      <w:r>
        <w:rPr>
          <w:rFonts w:hint="eastAsia"/>
          <w:lang w:val="en-US" w:eastAsia="zh-CN"/>
        </w:rPr>
        <w:t>专用项目不上传附件，没有项目名称、审批结束自动生成项目名称</w:t>
      </w:r>
    </w:p>
    <w:p>
      <w:pPr>
        <w:rPr>
          <w:rFonts w:hint="default"/>
          <w:lang w:val="en-US" w:eastAsia="zh-CN"/>
        </w:rPr>
      </w:pPr>
      <w:r>
        <w:drawing>
          <wp:inline distT="0" distB="0" distL="114300" distR="114300">
            <wp:extent cx="5258435" cy="2491105"/>
            <wp:effectExtent l="9525" t="9525" r="27940" b="1397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7"/>
                    <a:stretch>
                      <a:fillRect/>
                    </a:stretch>
                  </pic:blipFill>
                  <pic:spPr>
                    <a:xfrm>
                      <a:off x="0" y="0"/>
                      <a:ext cx="5258435" cy="2491105"/>
                    </a:xfrm>
                    <a:prstGeom prst="rect">
                      <a:avLst/>
                    </a:prstGeom>
                    <a:noFill/>
                    <a:ln>
                      <a:solidFill>
                        <a:srgbClr val="0000FF"/>
                      </a:solidFill>
                    </a:ln>
                  </pic:spPr>
                </pic:pic>
              </a:graphicData>
            </a:graphic>
          </wp:inline>
        </w:drawing>
      </w:r>
    </w:p>
    <w:p>
      <w:pPr>
        <w:pStyle w:val="2"/>
        <w:numPr>
          <w:ilvl w:val="0"/>
          <w:numId w:val="2"/>
        </w:numPr>
      </w:pPr>
      <w:bookmarkStart w:id="13" w:name="_Toc21442"/>
      <w:r>
        <w:rPr>
          <w:rFonts w:hint="eastAsia"/>
        </w:rPr>
        <w:t>项目变更</w:t>
      </w:r>
      <w:bookmarkEnd w:id="13"/>
    </w:p>
    <w:p>
      <w:pPr>
        <w:pStyle w:val="3"/>
        <w:numPr>
          <w:ilvl w:val="1"/>
          <w:numId w:val="2"/>
        </w:numPr>
        <w:spacing w:after="0" w:line="413" w:lineRule="auto"/>
        <w:ind w:left="578" w:hanging="578"/>
        <w:rPr>
          <w:rFonts w:ascii="宋体" w:hAnsi="宋体" w:eastAsia="宋体"/>
          <w:sz w:val="28"/>
          <w:szCs w:val="28"/>
        </w:rPr>
      </w:pPr>
      <w:bookmarkStart w:id="14" w:name="_Toc25516"/>
      <w:r>
        <w:rPr>
          <w:rFonts w:hint="eastAsia" w:ascii="宋体" w:hAnsi="宋体" w:eastAsia="宋体"/>
          <w:sz w:val="28"/>
          <w:szCs w:val="28"/>
        </w:rPr>
        <w:t>项目变更审核</w:t>
      </w:r>
      <w:bookmarkEnd w:id="14"/>
    </w:p>
    <w:p>
      <w:pPr>
        <w:rPr>
          <w:rFonts w:hint="eastAsia"/>
          <w:lang w:val="en-US" w:eastAsia="zh-CN"/>
        </w:rPr>
      </w:pPr>
      <w:r>
        <w:rPr>
          <w:rFonts w:hint="eastAsia"/>
          <w:lang w:val="en-US" w:eastAsia="zh-CN"/>
        </w:rPr>
        <w:t>项目业务负责人、业务主管、业务员在审核变更时可以编辑项目信息</w:t>
      </w:r>
    </w:p>
    <w:p>
      <w:pPr>
        <w:rPr>
          <w:rFonts w:hint="default"/>
          <w:lang w:val="en-US" w:eastAsia="zh-CN"/>
        </w:rPr>
      </w:pPr>
      <w:r>
        <w:rPr>
          <w:rFonts w:hint="eastAsia"/>
          <w:lang w:val="en-US" w:eastAsia="zh-CN"/>
        </w:rPr>
        <w:t>变更记录 记录了项目的变更情况</w:t>
      </w:r>
    </w:p>
    <w:p>
      <w:pPr>
        <w:rPr>
          <w:rFonts w:hint="eastAsia"/>
        </w:rPr>
      </w:pPr>
      <w:r>
        <w:drawing>
          <wp:inline distT="0" distB="0" distL="114300" distR="114300">
            <wp:extent cx="5271770" cy="2680335"/>
            <wp:effectExtent l="9525" t="9525" r="14605" b="1524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8"/>
                    <a:stretch>
                      <a:fillRect/>
                    </a:stretch>
                  </pic:blipFill>
                  <pic:spPr>
                    <a:xfrm>
                      <a:off x="0" y="0"/>
                      <a:ext cx="5271770" cy="2680335"/>
                    </a:xfrm>
                    <a:prstGeom prst="rect">
                      <a:avLst/>
                    </a:prstGeom>
                    <a:noFill/>
                    <a:ln>
                      <a:solidFill>
                        <a:srgbClr val="0000FF"/>
                      </a:solidFill>
                    </a:ln>
                  </pic:spPr>
                </pic:pic>
              </a:graphicData>
            </a:graphic>
          </wp:inline>
        </w:drawing>
      </w:r>
    </w:p>
    <w:p>
      <w:pPr>
        <w:rPr>
          <w:rFonts w:hint="default" w:eastAsia="宋体"/>
          <w:lang w:val="en-US" w:eastAsia="zh-CN"/>
        </w:rPr>
      </w:pPr>
      <w:r>
        <w:rPr>
          <w:rFonts w:hint="eastAsia"/>
          <w:lang w:val="en-US" w:eastAsia="zh-CN"/>
        </w:rPr>
        <w:t>生成水印、公示等操作同项目立项时一样</w:t>
      </w:r>
    </w:p>
    <w:p>
      <w:pPr>
        <w:pStyle w:val="3"/>
        <w:numPr>
          <w:ilvl w:val="1"/>
          <w:numId w:val="2"/>
        </w:numPr>
        <w:spacing w:after="0" w:line="413" w:lineRule="auto"/>
        <w:ind w:left="578" w:hanging="578"/>
        <w:rPr>
          <w:rFonts w:ascii="宋体" w:hAnsi="宋体" w:eastAsia="宋体"/>
          <w:sz w:val="28"/>
          <w:szCs w:val="28"/>
        </w:rPr>
      </w:pPr>
      <w:bookmarkStart w:id="15" w:name="_Toc16574"/>
      <w:r>
        <w:rPr>
          <w:rFonts w:hint="eastAsia" w:ascii="宋体" w:hAnsi="宋体" w:eastAsia="宋体"/>
          <w:sz w:val="28"/>
          <w:szCs w:val="28"/>
          <w:lang w:val="en-US" w:eastAsia="zh-CN"/>
        </w:rPr>
        <w:t>外协合同</w:t>
      </w:r>
      <w:r>
        <w:rPr>
          <w:rFonts w:hint="eastAsia" w:ascii="宋体" w:hAnsi="宋体" w:eastAsia="宋体"/>
          <w:sz w:val="28"/>
          <w:szCs w:val="28"/>
        </w:rPr>
        <w:t>变更</w:t>
      </w:r>
      <w:r>
        <w:rPr>
          <w:rFonts w:hint="eastAsia" w:ascii="宋体" w:hAnsi="宋体" w:eastAsia="宋体"/>
          <w:sz w:val="28"/>
          <w:szCs w:val="28"/>
          <w:lang w:val="en-US" w:eastAsia="zh-CN"/>
        </w:rPr>
        <w:t>审核</w:t>
      </w:r>
      <w:bookmarkEnd w:id="15"/>
    </w:p>
    <w:p>
      <w:pPr>
        <w:rPr>
          <w:rFonts w:hint="eastAsia"/>
          <w:lang w:val="en-US" w:eastAsia="zh-CN"/>
        </w:rPr>
      </w:pPr>
      <w:r>
        <w:rPr>
          <w:rFonts w:hint="eastAsia"/>
          <w:lang w:val="en-US" w:eastAsia="zh-CN"/>
        </w:rPr>
        <w:t>用户发起外协合同变更时只能变更外协单位的附件，审核时只审核外协附件即可，其他信息没有变化</w:t>
      </w:r>
    </w:p>
    <w:p>
      <w:pPr>
        <w:rPr>
          <w:rFonts w:hint="default"/>
          <w:lang w:val="en-US" w:eastAsia="zh-CN"/>
        </w:rPr>
      </w:pPr>
      <w:r>
        <w:drawing>
          <wp:inline distT="0" distB="0" distL="114300" distR="114300">
            <wp:extent cx="5265420" cy="2630805"/>
            <wp:effectExtent l="9525" t="9525" r="20955" b="2667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19"/>
                    <a:stretch>
                      <a:fillRect/>
                    </a:stretch>
                  </pic:blipFill>
                  <pic:spPr>
                    <a:xfrm>
                      <a:off x="0" y="0"/>
                      <a:ext cx="5265420" cy="2630805"/>
                    </a:xfrm>
                    <a:prstGeom prst="rect">
                      <a:avLst/>
                    </a:prstGeom>
                    <a:noFill/>
                    <a:ln>
                      <a:solidFill>
                        <a:srgbClr val="0000FF"/>
                      </a:solidFill>
                    </a:ln>
                  </pic:spPr>
                </pic:pic>
              </a:graphicData>
            </a:graphic>
          </wp:inline>
        </w:drawing>
      </w:r>
    </w:p>
    <w:p>
      <w:pPr>
        <w:pStyle w:val="2"/>
        <w:numPr>
          <w:ilvl w:val="0"/>
          <w:numId w:val="2"/>
        </w:numPr>
      </w:pPr>
      <w:bookmarkStart w:id="16" w:name="_Toc1800"/>
      <w:r>
        <w:rPr>
          <w:rFonts w:hint="eastAsia"/>
        </w:rPr>
        <w:t>项目结题</w:t>
      </w:r>
      <w:bookmarkEnd w:id="16"/>
    </w:p>
    <w:p>
      <w:r>
        <w:rPr>
          <w:rFonts w:hint="eastAsia"/>
          <w:lang w:val="en-US" w:eastAsia="zh-CN"/>
        </w:rPr>
        <w:t>项目负责人发起结题时，</w:t>
      </w:r>
      <w:r>
        <w:rPr>
          <w:rFonts w:hint="eastAsia"/>
        </w:rPr>
        <w:t>流程是：</w:t>
      </w:r>
    </w:p>
    <w:p>
      <w:r>
        <w:rPr>
          <w:rFonts w:hint="eastAsia"/>
        </w:rPr>
        <w:t>1、老师发起结题流程——2、院系科研秘书审核——3、院系科研领导审核——</w:t>
      </w:r>
      <w:r>
        <w:t>4</w:t>
      </w:r>
      <w:r>
        <w:rPr>
          <w:rFonts w:hint="eastAsia"/>
        </w:rPr>
        <w:t>、科管部审核——结题流程完成。</w:t>
      </w:r>
    </w:p>
    <w:p/>
    <w:p>
      <w:pPr>
        <w:rPr>
          <w:rFonts w:hint="eastAsia"/>
        </w:rPr>
      </w:pPr>
      <w:r>
        <w:rPr>
          <w:rFonts w:hint="eastAsia"/>
          <w:lang w:val="en-US" w:eastAsia="zh-CN"/>
        </w:rPr>
        <w:t>科管部发起结题时，流程时：</w:t>
      </w:r>
      <w:r>
        <w:rPr>
          <w:rFonts w:hint="eastAsia"/>
        </w:rPr>
        <w:t>1、项目主管</w:t>
      </w:r>
      <w:r>
        <w:rPr>
          <w:rFonts w:hint="eastAsia"/>
          <w:lang w:val="en-US" w:eastAsia="zh-CN"/>
        </w:rPr>
        <w:t>角色</w:t>
      </w:r>
      <w:r>
        <w:rPr>
          <w:rFonts w:hint="eastAsia"/>
        </w:rPr>
        <w:t>发起项目结题——结题流程完成。</w:t>
      </w:r>
    </w:p>
    <w:p>
      <w:pPr>
        <w:pStyle w:val="3"/>
        <w:numPr>
          <w:ilvl w:val="1"/>
          <w:numId w:val="2"/>
        </w:numPr>
        <w:spacing w:after="0" w:line="413" w:lineRule="auto"/>
        <w:ind w:left="578" w:hanging="578"/>
        <w:rPr>
          <w:rFonts w:ascii="宋体" w:hAnsi="宋体" w:eastAsia="宋体"/>
          <w:sz w:val="28"/>
          <w:szCs w:val="28"/>
        </w:rPr>
      </w:pPr>
      <w:bookmarkStart w:id="17" w:name="_Toc20445"/>
      <w:r>
        <w:rPr>
          <w:rFonts w:hint="eastAsia" w:ascii="宋体" w:hAnsi="宋体" w:eastAsia="宋体"/>
          <w:sz w:val="28"/>
          <w:szCs w:val="28"/>
        </w:rPr>
        <w:t>项目结题审核</w:t>
      </w:r>
      <w:bookmarkEnd w:id="17"/>
    </w:p>
    <w:p>
      <w:r>
        <w:rPr>
          <w:rFonts w:hint="eastAsia"/>
        </w:rPr>
        <w:t>项目主管审核结题时不编辑表单内容，直接审核即可。</w:t>
      </w:r>
    </w:p>
    <w:p>
      <w:pPr>
        <w:jc w:val="center"/>
        <w:rPr>
          <w:rFonts w:hint="eastAsia"/>
        </w:rPr>
      </w:pPr>
      <w:r>
        <w:drawing>
          <wp:inline distT="0" distB="0" distL="114300" distR="114300">
            <wp:extent cx="4649470" cy="3041015"/>
            <wp:effectExtent l="9525" t="9525" r="27305" b="1651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20"/>
                    <a:stretch>
                      <a:fillRect/>
                    </a:stretch>
                  </pic:blipFill>
                  <pic:spPr>
                    <a:xfrm>
                      <a:off x="0" y="0"/>
                      <a:ext cx="4649470" cy="3041015"/>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8" w:name="_Toc17847"/>
      <w:r>
        <w:rPr>
          <w:rFonts w:hint="eastAsia" w:ascii="宋体" w:hAnsi="宋体" w:eastAsia="宋体"/>
          <w:sz w:val="28"/>
          <w:szCs w:val="28"/>
        </w:rPr>
        <w:t>项目主管发起项目结题</w:t>
      </w:r>
      <w:bookmarkEnd w:id="18"/>
    </w:p>
    <w:p>
      <w:pPr>
        <w:rPr>
          <w:rFonts w:hint="eastAsia"/>
          <w:lang w:val="en-US" w:eastAsia="zh-CN"/>
        </w:rPr>
      </w:pPr>
      <w:r>
        <w:rPr>
          <w:rFonts w:hint="eastAsia"/>
        </w:rPr>
        <w:t>项目主管可以在项目结题菜单上</w:t>
      </w:r>
      <w:r>
        <w:rPr>
          <w:rFonts w:hint="eastAsia"/>
          <w:lang w:val="en-US" w:eastAsia="zh-CN"/>
        </w:rPr>
        <w:t>发起结题，路径：项目管理——项目结题——项目结题</w:t>
      </w:r>
    </w:p>
    <w:p>
      <w:pPr>
        <w:rPr>
          <w:rFonts w:hint="default"/>
          <w:lang w:val="en-US" w:eastAsia="zh-CN"/>
        </w:rPr>
      </w:pPr>
      <w:r>
        <w:rPr>
          <w:rFonts w:hint="eastAsia"/>
          <w:lang w:val="en-US" w:eastAsia="zh-CN"/>
        </w:rPr>
        <w:t>在打开的结题表单上，上传结题文件提交，提交后流程直接到结束。</w:t>
      </w:r>
    </w:p>
    <w:p>
      <w:r>
        <w:drawing>
          <wp:inline distT="0" distB="0" distL="114300" distR="114300">
            <wp:extent cx="5267325" cy="1998345"/>
            <wp:effectExtent l="0" t="0" r="9525" b="1905"/>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21"/>
                    <a:stretch>
                      <a:fillRect/>
                    </a:stretch>
                  </pic:blipFill>
                  <pic:spPr>
                    <a:xfrm>
                      <a:off x="0" y="0"/>
                      <a:ext cx="5267325" cy="1998345"/>
                    </a:xfrm>
                    <a:prstGeom prst="rect">
                      <a:avLst/>
                    </a:prstGeom>
                    <a:noFill/>
                    <a:ln>
                      <a:noFill/>
                    </a:ln>
                  </pic:spPr>
                </pic:pic>
              </a:graphicData>
            </a:graphic>
          </wp:inline>
        </w:drawing>
      </w:r>
    </w:p>
    <w:p>
      <w:pPr>
        <w:pStyle w:val="2"/>
        <w:numPr>
          <w:ilvl w:val="0"/>
          <w:numId w:val="2"/>
        </w:numPr>
      </w:pPr>
      <w:bookmarkStart w:id="19" w:name="_Toc18635"/>
      <w:r>
        <w:rPr>
          <w:rFonts w:hint="eastAsia"/>
          <w:lang w:val="en-US" w:eastAsia="zh-CN"/>
        </w:rPr>
        <w:t>批量变更项目状态</w:t>
      </w:r>
      <w:bookmarkEnd w:id="19"/>
    </w:p>
    <w:p>
      <w:pPr>
        <w:rPr>
          <w:rFonts w:hint="default"/>
          <w:lang w:val="en-US" w:eastAsia="zh-CN"/>
        </w:rPr>
      </w:pPr>
      <w:r>
        <w:rPr>
          <w:rFonts w:hint="eastAsia"/>
          <w:lang w:val="en-US" w:eastAsia="zh-CN"/>
        </w:rPr>
        <w:t>项目主管有批量变更项目状态的功能，路径如下：</w:t>
      </w:r>
    </w:p>
    <w:p>
      <w:pPr>
        <w:jc w:val="center"/>
      </w:pPr>
      <w:r>
        <w:drawing>
          <wp:inline distT="0" distB="0" distL="114300" distR="114300">
            <wp:extent cx="2648585" cy="1725930"/>
            <wp:effectExtent l="0" t="0" r="18415" b="7620"/>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22"/>
                    <a:stretch>
                      <a:fillRect/>
                    </a:stretch>
                  </pic:blipFill>
                  <pic:spPr>
                    <a:xfrm>
                      <a:off x="0" y="0"/>
                      <a:ext cx="2648585" cy="1725930"/>
                    </a:xfrm>
                    <a:prstGeom prst="rect">
                      <a:avLst/>
                    </a:prstGeom>
                    <a:noFill/>
                    <a:ln>
                      <a:noFill/>
                    </a:ln>
                  </pic:spPr>
                </pic:pic>
              </a:graphicData>
            </a:graphic>
          </wp:inline>
        </w:drawing>
      </w:r>
    </w:p>
    <w:p>
      <w:pPr>
        <w:jc w:val="left"/>
        <w:rPr>
          <w:rFonts w:hint="eastAsia"/>
          <w:lang w:val="en-US" w:eastAsia="zh-CN"/>
        </w:rPr>
      </w:pPr>
      <w:r>
        <w:rPr>
          <w:rFonts w:hint="eastAsia"/>
          <w:lang w:val="en-US" w:eastAsia="zh-CN"/>
        </w:rPr>
        <w:t>可以变更单个项目的状态</w:t>
      </w:r>
    </w:p>
    <w:p>
      <w:pPr>
        <w:jc w:val="center"/>
      </w:pPr>
      <w:r>
        <w:drawing>
          <wp:inline distT="0" distB="0" distL="114300" distR="114300">
            <wp:extent cx="4610735" cy="1079500"/>
            <wp:effectExtent l="9525" t="9525" r="27940" b="15875"/>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23"/>
                    <a:stretch>
                      <a:fillRect/>
                    </a:stretch>
                  </pic:blipFill>
                  <pic:spPr>
                    <a:xfrm>
                      <a:off x="0" y="0"/>
                      <a:ext cx="4610735" cy="1079500"/>
                    </a:xfrm>
                    <a:prstGeom prst="rect">
                      <a:avLst/>
                    </a:prstGeom>
                    <a:noFill/>
                    <a:ln>
                      <a:solidFill>
                        <a:srgbClr val="0000FF"/>
                      </a:solidFill>
                    </a:ln>
                  </pic:spPr>
                </pic:pic>
              </a:graphicData>
            </a:graphic>
          </wp:inline>
        </w:drawing>
      </w:r>
    </w:p>
    <w:p>
      <w:pPr>
        <w:jc w:val="left"/>
        <w:rPr>
          <w:rFonts w:hint="eastAsia"/>
          <w:lang w:val="en-US" w:eastAsia="zh-CN"/>
        </w:rPr>
      </w:pPr>
      <w:r>
        <w:rPr>
          <w:rFonts w:hint="eastAsia"/>
          <w:lang w:val="en-US" w:eastAsia="zh-CN"/>
        </w:rPr>
        <w:t>也可以选中多个项目，批量变更状态</w:t>
      </w:r>
    </w:p>
    <w:p>
      <w:pPr>
        <w:jc w:val="left"/>
      </w:pPr>
      <w:r>
        <w:drawing>
          <wp:inline distT="0" distB="0" distL="114300" distR="114300">
            <wp:extent cx="5257165" cy="979170"/>
            <wp:effectExtent l="9525" t="9525" r="10160" b="20955"/>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6"/>
                    <pic:cNvPicPr>
                      <a:picLocks noChangeAspect="1"/>
                    </pic:cNvPicPr>
                  </pic:nvPicPr>
                  <pic:blipFill>
                    <a:blip r:embed="rId24"/>
                    <a:stretch>
                      <a:fillRect/>
                    </a:stretch>
                  </pic:blipFill>
                  <pic:spPr>
                    <a:xfrm>
                      <a:off x="0" y="0"/>
                      <a:ext cx="5257165" cy="979170"/>
                    </a:xfrm>
                    <a:prstGeom prst="rect">
                      <a:avLst/>
                    </a:prstGeom>
                    <a:noFill/>
                    <a:ln>
                      <a:solidFill>
                        <a:srgbClr val="0000FF"/>
                      </a:solidFill>
                    </a:ln>
                  </pic:spPr>
                </pic:pic>
              </a:graphicData>
            </a:graphic>
          </wp:inline>
        </w:drawing>
      </w:r>
    </w:p>
    <w:p>
      <w:pPr>
        <w:pStyle w:val="2"/>
        <w:numPr>
          <w:ilvl w:val="0"/>
          <w:numId w:val="2"/>
        </w:numPr>
        <w:rPr>
          <w:rFonts w:hint="default"/>
          <w:lang w:val="en-US" w:eastAsia="zh-CN"/>
        </w:rPr>
      </w:pPr>
      <w:bookmarkStart w:id="20" w:name="_Toc20631"/>
      <w:r>
        <w:rPr>
          <w:rFonts w:hint="eastAsia"/>
          <w:lang w:val="en-US" w:eastAsia="zh-CN"/>
        </w:rPr>
        <w:t>批量结题</w:t>
      </w:r>
      <w:bookmarkEnd w:id="20"/>
    </w:p>
    <w:p>
      <w:pPr>
        <w:jc w:val="center"/>
        <w:rPr>
          <w:rFonts w:hint="default"/>
          <w:lang w:val="en-US" w:eastAsia="zh-CN"/>
        </w:rPr>
      </w:pPr>
      <w:r>
        <w:drawing>
          <wp:inline distT="0" distB="0" distL="114300" distR="114300">
            <wp:extent cx="2390775" cy="923925"/>
            <wp:effectExtent l="0" t="0" r="9525" b="9525"/>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7"/>
                    <pic:cNvPicPr>
                      <a:picLocks noChangeAspect="1"/>
                    </pic:cNvPicPr>
                  </pic:nvPicPr>
                  <pic:blipFill>
                    <a:blip r:embed="rId25"/>
                    <a:stretch>
                      <a:fillRect/>
                    </a:stretch>
                  </pic:blipFill>
                  <pic:spPr>
                    <a:xfrm>
                      <a:off x="0" y="0"/>
                      <a:ext cx="2390775" cy="923925"/>
                    </a:xfrm>
                    <a:prstGeom prst="rect">
                      <a:avLst/>
                    </a:prstGeom>
                    <a:noFill/>
                    <a:ln>
                      <a:noFill/>
                    </a:ln>
                  </pic:spPr>
                </pic:pic>
              </a:graphicData>
            </a:graphic>
          </wp:inline>
        </w:drawing>
      </w:r>
    </w:p>
    <w:p>
      <w:pPr>
        <w:numPr>
          <w:ilvl w:val="0"/>
          <w:numId w:val="4"/>
        </w:numPr>
        <w:rPr>
          <w:rFonts w:hint="eastAsia"/>
          <w:lang w:val="en-US" w:eastAsia="zh-CN"/>
        </w:rPr>
      </w:pPr>
      <w:r>
        <w:rPr>
          <w:rFonts w:hint="eastAsia"/>
          <w:lang w:val="en-US" w:eastAsia="zh-CN"/>
        </w:rPr>
        <w:t>直接选中一个或多个项目结题</w:t>
      </w:r>
      <w:r>
        <w:rPr>
          <w:rFonts w:hint="eastAsia"/>
          <w:lang w:val="en-US" w:eastAsia="zh-CN"/>
        </w:rPr>
        <w:br w:type="textWrapping"/>
      </w:r>
      <w:r>
        <w:drawing>
          <wp:inline distT="0" distB="0" distL="114300" distR="114300">
            <wp:extent cx="5271135" cy="991235"/>
            <wp:effectExtent l="0" t="0" r="5715" b="18415"/>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pic:cNvPicPr>
                  </pic:nvPicPr>
                  <pic:blipFill>
                    <a:blip r:embed="rId26"/>
                    <a:stretch>
                      <a:fillRect/>
                    </a:stretch>
                  </pic:blipFill>
                  <pic:spPr>
                    <a:xfrm>
                      <a:off x="0" y="0"/>
                      <a:ext cx="5271135" cy="991235"/>
                    </a:xfrm>
                    <a:prstGeom prst="rect">
                      <a:avLst/>
                    </a:prstGeom>
                    <a:noFill/>
                    <a:ln>
                      <a:noFill/>
                    </a:ln>
                  </pic:spPr>
                </pic:pic>
              </a:graphicData>
            </a:graphic>
          </wp:inline>
        </w:drawing>
      </w:r>
    </w:p>
    <w:p>
      <w:pPr>
        <w:numPr>
          <w:ilvl w:val="0"/>
          <w:numId w:val="4"/>
        </w:numPr>
        <w:rPr>
          <w:rFonts w:hint="default"/>
          <w:lang w:val="en-US" w:eastAsia="zh-CN"/>
        </w:rPr>
      </w:pPr>
      <w:r>
        <w:rPr>
          <w:rFonts w:hint="eastAsia"/>
          <w:lang w:val="en-US" w:eastAsia="zh-CN"/>
        </w:rPr>
        <w:t>导入要结题的项目，操作结题</w:t>
      </w:r>
      <w:r>
        <w:rPr>
          <w:rFonts w:hint="eastAsia"/>
          <w:lang w:val="en-US" w:eastAsia="zh-CN"/>
        </w:rPr>
        <w:br w:type="textWrapping"/>
      </w:r>
      <w:r>
        <w:rPr>
          <w:rFonts w:hint="eastAsia"/>
          <w:lang w:val="en-US" w:eastAsia="zh-CN"/>
        </w:rPr>
        <w:t>这个导入与在列表中选中项目是一样的，当要主管有要批量结题的项目名单，但在系统中不方便用统一的筛选条件一次筛选过出来时，就可以用导入的方式把要结题的项目一次导入，导入成功后，后续操作同直接在列表上选中点“结题”一样</w:t>
      </w:r>
      <w:r>
        <w:rPr>
          <w:rFonts w:hint="eastAsia"/>
          <w:lang w:val="en-US" w:eastAsia="zh-CN"/>
        </w:rPr>
        <w:br w:type="textWrapping"/>
      </w:r>
      <w:r>
        <w:drawing>
          <wp:inline distT="0" distB="0" distL="114300" distR="114300">
            <wp:extent cx="5266690" cy="1003300"/>
            <wp:effectExtent l="9525" t="9525" r="19685" b="15875"/>
            <wp:docPr id="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9"/>
                    <pic:cNvPicPr>
                      <a:picLocks noChangeAspect="1"/>
                    </pic:cNvPicPr>
                  </pic:nvPicPr>
                  <pic:blipFill>
                    <a:blip r:embed="rId27"/>
                    <a:stretch>
                      <a:fillRect/>
                    </a:stretch>
                  </pic:blipFill>
                  <pic:spPr>
                    <a:xfrm>
                      <a:off x="0" y="0"/>
                      <a:ext cx="5266690" cy="1003300"/>
                    </a:xfrm>
                    <a:prstGeom prst="rect">
                      <a:avLst/>
                    </a:prstGeom>
                    <a:noFill/>
                    <a:ln>
                      <a:solidFill>
                        <a:srgbClr val="0000FF"/>
                      </a:solidFill>
                    </a:ln>
                  </pic:spPr>
                </pic:pic>
              </a:graphicData>
            </a:graphic>
          </wp:inline>
        </w:drawing>
      </w:r>
    </w:p>
    <w:p>
      <w:pPr>
        <w:numPr>
          <w:ilvl w:val="0"/>
          <w:numId w:val="4"/>
        </w:numPr>
        <w:rPr>
          <w:rFonts w:hint="default"/>
          <w:lang w:val="en-US" w:eastAsia="zh-CN"/>
        </w:rPr>
      </w:pPr>
      <w:r>
        <w:rPr>
          <w:rFonts w:hint="eastAsia"/>
          <w:lang w:val="en-US" w:eastAsia="zh-CN"/>
        </w:rPr>
        <w:t>发送结题通知</w:t>
      </w:r>
    </w:p>
    <w:p>
      <w:pPr>
        <w:numPr>
          <w:ilvl w:val="0"/>
          <w:numId w:val="0"/>
        </w:numPr>
        <w:rPr>
          <w:rFonts w:hint="eastAsia"/>
          <w:lang w:val="en-US" w:eastAsia="zh-CN"/>
        </w:rPr>
      </w:pPr>
      <w:r>
        <w:rPr>
          <w:rFonts w:hint="eastAsia"/>
          <w:lang w:val="en-US" w:eastAsia="zh-CN"/>
        </w:rPr>
        <w:t>项目主管通知项目负责人去发起结题时使用</w:t>
      </w:r>
    </w:p>
    <w:p>
      <w:pPr>
        <w:numPr>
          <w:ilvl w:val="0"/>
          <w:numId w:val="0"/>
        </w:numPr>
        <w:rPr>
          <w:rFonts w:hint="default"/>
          <w:lang w:val="en-US" w:eastAsia="zh-CN"/>
        </w:rPr>
      </w:pPr>
      <w:r>
        <w:drawing>
          <wp:inline distT="0" distB="0" distL="114300" distR="114300">
            <wp:extent cx="5265420" cy="1205865"/>
            <wp:effectExtent l="0" t="0" r="11430" b="13335"/>
            <wp:docPr id="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0"/>
                    <pic:cNvPicPr>
                      <a:picLocks noChangeAspect="1"/>
                    </pic:cNvPicPr>
                  </pic:nvPicPr>
                  <pic:blipFill>
                    <a:blip r:embed="rId28"/>
                    <a:stretch>
                      <a:fillRect/>
                    </a:stretch>
                  </pic:blipFill>
                  <pic:spPr>
                    <a:xfrm>
                      <a:off x="0" y="0"/>
                      <a:ext cx="5265420" cy="1205865"/>
                    </a:xfrm>
                    <a:prstGeom prst="rect">
                      <a:avLst/>
                    </a:prstGeom>
                    <a:noFill/>
                    <a:ln>
                      <a:noFill/>
                    </a:ln>
                  </pic:spPr>
                </pic:pic>
              </a:graphicData>
            </a:graphic>
          </wp:inline>
        </w:drawing>
      </w:r>
    </w:p>
    <w:p>
      <w:pPr>
        <w:rPr>
          <w:rFonts w:hint="eastAsia"/>
          <w:lang w:val="en-US" w:eastAsia="zh-CN"/>
        </w:rPr>
      </w:pPr>
      <w:r>
        <w:rPr>
          <w:rFonts w:hint="eastAsia"/>
          <w:lang w:val="en-US" w:eastAsia="zh-CN"/>
        </w:rPr>
        <w:t>项目负责人点击收到的通知如下，点通知链接到发起结题页面：</w:t>
      </w:r>
    </w:p>
    <w:p>
      <w:pPr>
        <w:jc w:val="center"/>
      </w:pPr>
      <w:r>
        <w:drawing>
          <wp:inline distT="0" distB="0" distL="114300" distR="114300">
            <wp:extent cx="3829050" cy="800100"/>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29"/>
                    <a:stretch>
                      <a:fillRect/>
                    </a:stretch>
                  </pic:blipFill>
                  <pic:spPr>
                    <a:xfrm>
                      <a:off x="0" y="0"/>
                      <a:ext cx="3829050" cy="800100"/>
                    </a:xfrm>
                    <a:prstGeom prst="rect">
                      <a:avLst/>
                    </a:prstGeom>
                    <a:noFill/>
                    <a:ln>
                      <a:solidFill>
                        <a:srgbClr val="0000FF"/>
                      </a:solidFill>
                    </a:ln>
                  </pic:spPr>
                </pic:pic>
              </a:graphicData>
            </a:graphic>
          </wp:inline>
        </w:drawing>
      </w:r>
    </w:p>
    <w:p>
      <w:pPr>
        <w:jc w:val="center"/>
        <w:rPr>
          <w:rFonts w:hint="default"/>
          <w:lang w:val="en-US" w:eastAsia="zh-CN"/>
        </w:rPr>
      </w:pPr>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single" w:color="auto" w:sz="6" w:space="8"/>
      </w:pBdr>
      <w:jc w:val="right"/>
    </w:pPr>
    <w:r>
      <w:rPr>
        <w:rFonts w:hint="eastAsia" w:ascii="Verdana" w:hAnsi="Verdana"/>
        <w:b/>
        <w:sz w:val="20"/>
      </w:rPr>
      <w:t>操作手册</w:t>
    </w:r>
    <w:r>
      <w:rPr>
        <w:rFonts w:ascii="Verdana" w:hAnsi="Verdana"/>
        <w:b/>
        <w:sz w:val="20"/>
      </w:rPr>
      <w:t xml:space="preserve">                                                           </w:t>
    </w:r>
    <w:r>
      <w:drawing>
        <wp:inline distT="0" distB="0" distL="0" distR="0">
          <wp:extent cx="981075" cy="2514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
                  <a:stretch>
                    <a:fillRect/>
                  </a:stretch>
                </pic:blipFill>
                <pic:spPr>
                  <a:xfrm>
                    <a:off x="0" y="0"/>
                    <a:ext cx="981566" cy="25200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C8B5DC"/>
    <w:multiLevelType w:val="singleLevel"/>
    <w:tmpl w:val="8DC8B5DC"/>
    <w:lvl w:ilvl="0" w:tentative="0">
      <w:start w:val="1"/>
      <w:numFmt w:val="decimal"/>
      <w:suff w:val="nothing"/>
      <w:lvlText w:val="%1、"/>
      <w:lvlJc w:val="left"/>
    </w:lvl>
  </w:abstractNum>
  <w:abstractNum w:abstractNumId="1">
    <w:nsid w:val="00000007"/>
    <w:multiLevelType w:val="multilevel"/>
    <w:tmpl w:val="00000007"/>
    <w:lvl w:ilvl="0" w:tentative="0">
      <w:start w:val="1"/>
      <w:numFmt w:val="decimal"/>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2">
    <w:nsid w:val="0000000D"/>
    <w:multiLevelType w:val="multilevel"/>
    <w:tmpl w:val="0000000D"/>
    <w:lvl w:ilvl="0" w:tentative="0">
      <w:start w:val="1"/>
      <w:numFmt w:val="bullet"/>
      <w:pStyle w:val="2"/>
      <w:lvlText w:val=""/>
      <w:lvlJc w:val="left"/>
      <w:pPr>
        <w:tabs>
          <w:tab w:val="left" w:pos="855"/>
        </w:tabs>
        <w:ind w:left="855" w:hanging="420"/>
      </w:pPr>
      <w:rPr>
        <w:rFonts w:hint="default" w:ascii="Wingdings" w:hAnsi="Wingdings"/>
      </w:rPr>
    </w:lvl>
    <w:lvl w:ilvl="1" w:tentative="0">
      <w:start w:val="1"/>
      <w:numFmt w:val="bullet"/>
      <w:pStyle w:val="3"/>
      <w:lvlText w:val=""/>
      <w:lvlJc w:val="left"/>
      <w:pPr>
        <w:tabs>
          <w:tab w:val="left" w:pos="1275"/>
        </w:tabs>
        <w:ind w:left="1275" w:hanging="420"/>
      </w:pPr>
      <w:rPr>
        <w:rFonts w:hint="default" w:ascii="Wingdings" w:hAnsi="Wingdings"/>
      </w:rPr>
    </w:lvl>
    <w:lvl w:ilvl="2" w:tentative="0">
      <w:start w:val="1"/>
      <w:numFmt w:val="bullet"/>
      <w:pStyle w:val="4"/>
      <w:lvlText w:val=""/>
      <w:lvlJc w:val="left"/>
      <w:pPr>
        <w:tabs>
          <w:tab w:val="left" w:pos="1695"/>
        </w:tabs>
        <w:ind w:left="1695" w:hanging="420"/>
      </w:pPr>
      <w:rPr>
        <w:rFonts w:hint="default" w:ascii="Wingdings" w:hAnsi="Wingdings"/>
      </w:rPr>
    </w:lvl>
    <w:lvl w:ilvl="3" w:tentative="0">
      <w:start w:val="1"/>
      <w:numFmt w:val="bullet"/>
      <w:lvlText w:val=""/>
      <w:lvlJc w:val="left"/>
      <w:pPr>
        <w:tabs>
          <w:tab w:val="left" w:pos="2115"/>
        </w:tabs>
        <w:ind w:left="2115" w:hanging="420"/>
      </w:pPr>
      <w:rPr>
        <w:rFonts w:hint="default" w:ascii="Wingdings" w:hAnsi="Wingdings"/>
      </w:rPr>
    </w:lvl>
    <w:lvl w:ilvl="4" w:tentative="0">
      <w:start w:val="1"/>
      <w:numFmt w:val="bullet"/>
      <w:lvlText w:val=""/>
      <w:lvlJc w:val="left"/>
      <w:pPr>
        <w:tabs>
          <w:tab w:val="left" w:pos="2535"/>
        </w:tabs>
        <w:ind w:left="2535" w:hanging="420"/>
      </w:pPr>
      <w:rPr>
        <w:rFonts w:hint="default" w:ascii="Wingdings" w:hAnsi="Wingdings"/>
      </w:rPr>
    </w:lvl>
    <w:lvl w:ilvl="5" w:tentative="0">
      <w:start w:val="1"/>
      <w:numFmt w:val="bullet"/>
      <w:lvlText w:val=""/>
      <w:lvlJc w:val="left"/>
      <w:pPr>
        <w:tabs>
          <w:tab w:val="left" w:pos="2955"/>
        </w:tabs>
        <w:ind w:left="2955" w:hanging="420"/>
      </w:pPr>
      <w:rPr>
        <w:rFonts w:hint="default" w:ascii="Wingdings" w:hAnsi="Wingdings"/>
      </w:rPr>
    </w:lvl>
    <w:lvl w:ilvl="6" w:tentative="0">
      <w:start w:val="1"/>
      <w:numFmt w:val="bullet"/>
      <w:lvlText w:val=""/>
      <w:lvlJc w:val="left"/>
      <w:pPr>
        <w:tabs>
          <w:tab w:val="left" w:pos="3375"/>
        </w:tabs>
        <w:ind w:left="3375" w:hanging="420"/>
      </w:pPr>
      <w:rPr>
        <w:rFonts w:hint="default" w:ascii="Wingdings" w:hAnsi="Wingdings"/>
      </w:rPr>
    </w:lvl>
    <w:lvl w:ilvl="7" w:tentative="0">
      <w:start w:val="1"/>
      <w:numFmt w:val="bullet"/>
      <w:lvlText w:val=""/>
      <w:lvlJc w:val="left"/>
      <w:pPr>
        <w:tabs>
          <w:tab w:val="left" w:pos="3795"/>
        </w:tabs>
        <w:ind w:left="3795" w:hanging="420"/>
      </w:pPr>
      <w:rPr>
        <w:rFonts w:hint="default" w:ascii="Wingdings" w:hAnsi="Wingdings"/>
      </w:rPr>
    </w:lvl>
    <w:lvl w:ilvl="8" w:tentative="0">
      <w:start w:val="1"/>
      <w:numFmt w:val="bullet"/>
      <w:lvlText w:val=""/>
      <w:lvlJc w:val="left"/>
      <w:pPr>
        <w:tabs>
          <w:tab w:val="left" w:pos="4215"/>
        </w:tabs>
        <w:ind w:left="4215" w:hanging="420"/>
      </w:pPr>
      <w:rPr>
        <w:rFonts w:hint="default" w:ascii="Wingdings" w:hAnsi="Wingdings"/>
      </w:rPr>
    </w:lvl>
  </w:abstractNum>
  <w:abstractNum w:abstractNumId="3">
    <w:nsid w:val="25EC085D"/>
    <w:multiLevelType w:val="multilevel"/>
    <w:tmpl w:val="25EC085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M4OGI4YTkzOTdkZmE2ZDFkZjk3YzY5NmM4NzRkZTYifQ=="/>
  </w:docVars>
  <w:rsids>
    <w:rsidRoot w:val="002C45BB"/>
    <w:rsid w:val="000167A6"/>
    <w:rsid w:val="000168D7"/>
    <w:rsid w:val="0003153C"/>
    <w:rsid w:val="00053D03"/>
    <w:rsid w:val="00056736"/>
    <w:rsid w:val="0006323B"/>
    <w:rsid w:val="00073AD8"/>
    <w:rsid w:val="00077570"/>
    <w:rsid w:val="00087BC0"/>
    <w:rsid w:val="000907AC"/>
    <w:rsid w:val="00091C8B"/>
    <w:rsid w:val="000A1DA4"/>
    <w:rsid w:val="000B2B98"/>
    <w:rsid w:val="000B512C"/>
    <w:rsid w:val="000B60D4"/>
    <w:rsid w:val="000C25A1"/>
    <w:rsid w:val="000D41AA"/>
    <w:rsid w:val="000D75C1"/>
    <w:rsid w:val="000E0296"/>
    <w:rsid w:val="000E192C"/>
    <w:rsid w:val="000F2141"/>
    <w:rsid w:val="0010080E"/>
    <w:rsid w:val="0012133D"/>
    <w:rsid w:val="00131190"/>
    <w:rsid w:val="00132F88"/>
    <w:rsid w:val="001520F0"/>
    <w:rsid w:val="00157640"/>
    <w:rsid w:val="00190FC7"/>
    <w:rsid w:val="001B2402"/>
    <w:rsid w:val="001B2F9F"/>
    <w:rsid w:val="001B3149"/>
    <w:rsid w:val="001B3E18"/>
    <w:rsid w:val="001B55C7"/>
    <w:rsid w:val="001C79A2"/>
    <w:rsid w:val="001D27C2"/>
    <w:rsid w:val="001D2D6C"/>
    <w:rsid w:val="001E4E5E"/>
    <w:rsid w:val="001E576E"/>
    <w:rsid w:val="001F48F7"/>
    <w:rsid w:val="001F5BB6"/>
    <w:rsid w:val="00211E7A"/>
    <w:rsid w:val="00220858"/>
    <w:rsid w:val="00224D02"/>
    <w:rsid w:val="002273C2"/>
    <w:rsid w:val="0025430D"/>
    <w:rsid w:val="002603AF"/>
    <w:rsid w:val="00267EAF"/>
    <w:rsid w:val="002773A9"/>
    <w:rsid w:val="002806B1"/>
    <w:rsid w:val="00285854"/>
    <w:rsid w:val="00297F65"/>
    <w:rsid w:val="002A6993"/>
    <w:rsid w:val="002A6EF8"/>
    <w:rsid w:val="002B67F3"/>
    <w:rsid w:val="002C45BB"/>
    <w:rsid w:val="002D2E51"/>
    <w:rsid w:val="002E391C"/>
    <w:rsid w:val="002F76FC"/>
    <w:rsid w:val="00305714"/>
    <w:rsid w:val="003057C9"/>
    <w:rsid w:val="00316CA5"/>
    <w:rsid w:val="00331484"/>
    <w:rsid w:val="00331D87"/>
    <w:rsid w:val="003342FA"/>
    <w:rsid w:val="00357798"/>
    <w:rsid w:val="0036306B"/>
    <w:rsid w:val="003631D2"/>
    <w:rsid w:val="00372C33"/>
    <w:rsid w:val="00380AEE"/>
    <w:rsid w:val="003812FA"/>
    <w:rsid w:val="00392B69"/>
    <w:rsid w:val="003A3C91"/>
    <w:rsid w:val="003A5FB7"/>
    <w:rsid w:val="003B1FFE"/>
    <w:rsid w:val="003B20A2"/>
    <w:rsid w:val="003C1B6A"/>
    <w:rsid w:val="003D073C"/>
    <w:rsid w:val="003D257D"/>
    <w:rsid w:val="003D25D3"/>
    <w:rsid w:val="003D7B42"/>
    <w:rsid w:val="003E733D"/>
    <w:rsid w:val="003F2FDF"/>
    <w:rsid w:val="00401412"/>
    <w:rsid w:val="00401AD9"/>
    <w:rsid w:val="00411907"/>
    <w:rsid w:val="00414E29"/>
    <w:rsid w:val="00417D05"/>
    <w:rsid w:val="00420566"/>
    <w:rsid w:val="004251C9"/>
    <w:rsid w:val="004275DC"/>
    <w:rsid w:val="00432282"/>
    <w:rsid w:val="004403FA"/>
    <w:rsid w:val="00446A1B"/>
    <w:rsid w:val="0045386B"/>
    <w:rsid w:val="00460D67"/>
    <w:rsid w:val="00463541"/>
    <w:rsid w:val="0046426F"/>
    <w:rsid w:val="004856CD"/>
    <w:rsid w:val="00496871"/>
    <w:rsid w:val="004C1C07"/>
    <w:rsid w:val="004F3F77"/>
    <w:rsid w:val="00511F27"/>
    <w:rsid w:val="005326C4"/>
    <w:rsid w:val="00544DFB"/>
    <w:rsid w:val="005559DC"/>
    <w:rsid w:val="00557B04"/>
    <w:rsid w:val="005623CE"/>
    <w:rsid w:val="00570AA1"/>
    <w:rsid w:val="005755FA"/>
    <w:rsid w:val="005B6BB5"/>
    <w:rsid w:val="005C19A8"/>
    <w:rsid w:val="005C51A0"/>
    <w:rsid w:val="005E1588"/>
    <w:rsid w:val="005F77D9"/>
    <w:rsid w:val="00616DF0"/>
    <w:rsid w:val="006478AF"/>
    <w:rsid w:val="00683765"/>
    <w:rsid w:val="006A2613"/>
    <w:rsid w:val="006A3D3F"/>
    <w:rsid w:val="006B5E2B"/>
    <w:rsid w:val="006C737B"/>
    <w:rsid w:val="006F06E0"/>
    <w:rsid w:val="006F6544"/>
    <w:rsid w:val="00711A1D"/>
    <w:rsid w:val="0072133E"/>
    <w:rsid w:val="00722931"/>
    <w:rsid w:val="0073386F"/>
    <w:rsid w:val="007435B1"/>
    <w:rsid w:val="00746C52"/>
    <w:rsid w:val="007479E7"/>
    <w:rsid w:val="007547CA"/>
    <w:rsid w:val="00756992"/>
    <w:rsid w:val="00756FE7"/>
    <w:rsid w:val="00760880"/>
    <w:rsid w:val="00767550"/>
    <w:rsid w:val="00771422"/>
    <w:rsid w:val="00772781"/>
    <w:rsid w:val="00790079"/>
    <w:rsid w:val="0079660D"/>
    <w:rsid w:val="00797C31"/>
    <w:rsid w:val="007B15A1"/>
    <w:rsid w:val="007B30C7"/>
    <w:rsid w:val="007C076F"/>
    <w:rsid w:val="007D116B"/>
    <w:rsid w:val="007E43CD"/>
    <w:rsid w:val="00802887"/>
    <w:rsid w:val="008130FC"/>
    <w:rsid w:val="00816A65"/>
    <w:rsid w:val="00816EBF"/>
    <w:rsid w:val="00823C32"/>
    <w:rsid w:val="00826157"/>
    <w:rsid w:val="008268AB"/>
    <w:rsid w:val="0083331D"/>
    <w:rsid w:val="00837873"/>
    <w:rsid w:val="008435FB"/>
    <w:rsid w:val="008447D4"/>
    <w:rsid w:val="00850475"/>
    <w:rsid w:val="00851663"/>
    <w:rsid w:val="0085464E"/>
    <w:rsid w:val="00886E87"/>
    <w:rsid w:val="00887487"/>
    <w:rsid w:val="008915FD"/>
    <w:rsid w:val="008A1BD3"/>
    <w:rsid w:val="008C1714"/>
    <w:rsid w:val="008C4878"/>
    <w:rsid w:val="008C5419"/>
    <w:rsid w:val="008F21A9"/>
    <w:rsid w:val="008F2490"/>
    <w:rsid w:val="008F642F"/>
    <w:rsid w:val="009051CA"/>
    <w:rsid w:val="009106FC"/>
    <w:rsid w:val="0091631F"/>
    <w:rsid w:val="00922A2E"/>
    <w:rsid w:val="00942AB2"/>
    <w:rsid w:val="00947BF5"/>
    <w:rsid w:val="009554F3"/>
    <w:rsid w:val="0096726E"/>
    <w:rsid w:val="00973D9A"/>
    <w:rsid w:val="009838E9"/>
    <w:rsid w:val="00990106"/>
    <w:rsid w:val="009A4C58"/>
    <w:rsid w:val="009D7D3A"/>
    <w:rsid w:val="009E3EDF"/>
    <w:rsid w:val="00A06CC2"/>
    <w:rsid w:val="00A06E23"/>
    <w:rsid w:val="00A24749"/>
    <w:rsid w:val="00A338C9"/>
    <w:rsid w:val="00A469F2"/>
    <w:rsid w:val="00A53FD2"/>
    <w:rsid w:val="00A56508"/>
    <w:rsid w:val="00A6335C"/>
    <w:rsid w:val="00A64B95"/>
    <w:rsid w:val="00A736B0"/>
    <w:rsid w:val="00A80E82"/>
    <w:rsid w:val="00A83777"/>
    <w:rsid w:val="00A87BF4"/>
    <w:rsid w:val="00AC5769"/>
    <w:rsid w:val="00AD14EB"/>
    <w:rsid w:val="00AE78FD"/>
    <w:rsid w:val="00B014F4"/>
    <w:rsid w:val="00B04A4D"/>
    <w:rsid w:val="00B07BAB"/>
    <w:rsid w:val="00B16B02"/>
    <w:rsid w:val="00B324C7"/>
    <w:rsid w:val="00B3534A"/>
    <w:rsid w:val="00B35F58"/>
    <w:rsid w:val="00B55EBE"/>
    <w:rsid w:val="00B614A4"/>
    <w:rsid w:val="00B658B0"/>
    <w:rsid w:val="00B83122"/>
    <w:rsid w:val="00B85135"/>
    <w:rsid w:val="00B866D3"/>
    <w:rsid w:val="00B87516"/>
    <w:rsid w:val="00B96957"/>
    <w:rsid w:val="00BC11ED"/>
    <w:rsid w:val="00BC4240"/>
    <w:rsid w:val="00BD78FF"/>
    <w:rsid w:val="00BE11F1"/>
    <w:rsid w:val="00BE3E8C"/>
    <w:rsid w:val="00C13696"/>
    <w:rsid w:val="00C14758"/>
    <w:rsid w:val="00C32CD4"/>
    <w:rsid w:val="00C351C0"/>
    <w:rsid w:val="00C35C51"/>
    <w:rsid w:val="00C3658F"/>
    <w:rsid w:val="00C42EAB"/>
    <w:rsid w:val="00C514D2"/>
    <w:rsid w:val="00C549AE"/>
    <w:rsid w:val="00C54F70"/>
    <w:rsid w:val="00C57077"/>
    <w:rsid w:val="00C668A5"/>
    <w:rsid w:val="00C760C7"/>
    <w:rsid w:val="00C86384"/>
    <w:rsid w:val="00C92020"/>
    <w:rsid w:val="00CA49A7"/>
    <w:rsid w:val="00CB0AA1"/>
    <w:rsid w:val="00CB2E2C"/>
    <w:rsid w:val="00CB731D"/>
    <w:rsid w:val="00CC05DB"/>
    <w:rsid w:val="00CC3CCD"/>
    <w:rsid w:val="00CC4890"/>
    <w:rsid w:val="00CC5360"/>
    <w:rsid w:val="00CC58AC"/>
    <w:rsid w:val="00CD1DDB"/>
    <w:rsid w:val="00CD6DA5"/>
    <w:rsid w:val="00CE215C"/>
    <w:rsid w:val="00CE5A62"/>
    <w:rsid w:val="00CF0CB3"/>
    <w:rsid w:val="00D00FA3"/>
    <w:rsid w:val="00D04C04"/>
    <w:rsid w:val="00D1491F"/>
    <w:rsid w:val="00D153BA"/>
    <w:rsid w:val="00D16EB8"/>
    <w:rsid w:val="00D26AAA"/>
    <w:rsid w:val="00D449E7"/>
    <w:rsid w:val="00D47A93"/>
    <w:rsid w:val="00D66CE4"/>
    <w:rsid w:val="00D8139F"/>
    <w:rsid w:val="00D94D53"/>
    <w:rsid w:val="00DB2778"/>
    <w:rsid w:val="00DB307C"/>
    <w:rsid w:val="00DB30D4"/>
    <w:rsid w:val="00DC6CAB"/>
    <w:rsid w:val="00DD09ED"/>
    <w:rsid w:val="00DD6710"/>
    <w:rsid w:val="00DE5009"/>
    <w:rsid w:val="00DF3F05"/>
    <w:rsid w:val="00DF4CBE"/>
    <w:rsid w:val="00E05287"/>
    <w:rsid w:val="00E05446"/>
    <w:rsid w:val="00E05644"/>
    <w:rsid w:val="00E15C90"/>
    <w:rsid w:val="00E23273"/>
    <w:rsid w:val="00E3370C"/>
    <w:rsid w:val="00E339B4"/>
    <w:rsid w:val="00E505FC"/>
    <w:rsid w:val="00E519A0"/>
    <w:rsid w:val="00E53518"/>
    <w:rsid w:val="00E53C17"/>
    <w:rsid w:val="00E54231"/>
    <w:rsid w:val="00E6607B"/>
    <w:rsid w:val="00E662DF"/>
    <w:rsid w:val="00E90143"/>
    <w:rsid w:val="00E90BC1"/>
    <w:rsid w:val="00EA30DC"/>
    <w:rsid w:val="00EA4FE8"/>
    <w:rsid w:val="00EA606E"/>
    <w:rsid w:val="00EA6C01"/>
    <w:rsid w:val="00ED108A"/>
    <w:rsid w:val="00ED6711"/>
    <w:rsid w:val="00EE0F73"/>
    <w:rsid w:val="00EE4641"/>
    <w:rsid w:val="00F04D74"/>
    <w:rsid w:val="00F051E2"/>
    <w:rsid w:val="00F07476"/>
    <w:rsid w:val="00F102C2"/>
    <w:rsid w:val="00F6029A"/>
    <w:rsid w:val="00F60480"/>
    <w:rsid w:val="00F62B03"/>
    <w:rsid w:val="00F66563"/>
    <w:rsid w:val="00F71A7D"/>
    <w:rsid w:val="00F768A0"/>
    <w:rsid w:val="00F80E48"/>
    <w:rsid w:val="00FA2D1D"/>
    <w:rsid w:val="00FA36E4"/>
    <w:rsid w:val="00FB4E03"/>
    <w:rsid w:val="00FB6157"/>
    <w:rsid w:val="00FC6A9F"/>
    <w:rsid w:val="00FC7C49"/>
    <w:rsid w:val="00FD7264"/>
    <w:rsid w:val="035E7176"/>
    <w:rsid w:val="04743DAC"/>
    <w:rsid w:val="067F7EC9"/>
    <w:rsid w:val="07730343"/>
    <w:rsid w:val="086603E2"/>
    <w:rsid w:val="08766B84"/>
    <w:rsid w:val="08B6788E"/>
    <w:rsid w:val="09B3229D"/>
    <w:rsid w:val="0B291791"/>
    <w:rsid w:val="0B7407F7"/>
    <w:rsid w:val="0D7214D3"/>
    <w:rsid w:val="0E034EAB"/>
    <w:rsid w:val="0F17745E"/>
    <w:rsid w:val="129F0C93"/>
    <w:rsid w:val="141C3252"/>
    <w:rsid w:val="1548367B"/>
    <w:rsid w:val="16A823D6"/>
    <w:rsid w:val="177D585E"/>
    <w:rsid w:val="1B862808"/>
    <w:rsid w:val="1FAA4537"/>
    <w:rsid w:val="20020FF7"/>
    <w:rsid w:val="20631369"/>
    <w:rsid w:val="20A57BD8"/>
    <w:rsid w:val="21085FE0"/>
    <w:rsid w:val="23A520A0"/>
    <w:rsid w:val="271B6A38"/>
    <w:rsid w:val="289F289F"/>
    <w:rsid w:val="2BDC6D36"/>
    <w:rsid w:val="2C64664C"/>
    <w:rsid w:val="2DAC5EC1"/>
    <w:rsid w:val="308B7A8A"/>
    <w:rsid w:val="32153220"/>
    <w:rsid w:val="3373762C"/>
    <w:rsid w:val="34C256E5"/>
    <w:rsid w:val="383B4342"/>
    <w:rsid w:val="38A03470"/>
    <w:rsid w:val="39E210F9"/>
    <w:rsid w:val="39F40C25"/>
    <w:rsid w:val="3ADF7151"/>
    <w:rsid w:val="3B117EE8"/>
    <w:rsid w:val="3BB42753"/>
    <w:rsid w:val="3E39299F"/>
    <w:rsid w:val="3ED13DE1"/>
    <w:rsid w:val="420C3116"/>
    <w:rsid w:val="423F76BA"/>
    <w:rsid w:val="42AA1CD8"/>
    <w:rsid w:val="494808AD"/>
    <w:rsid w:val="4BA012A5"/>
    <w:rsid w:val="4BAB3A41"/>
    <w:rsid w:val="51C61046"/>
    <w:rsid w:val="53582700"/>
    <w:rsid w:val="53607807"/>
    <w:rsid w:val="54C22FD3"/>
    <w:rsid w:val="54F40207"/>
    <w:rsid w:val="56762E21"/>
    <w:rsid w:val="575907F5"/>
    <w:rsid w:val="5A6B48C3"/>
    <w:rsid w:val="5E0F55F4"/>
    <w:rsid w:val="5EBB1C61"/>
    <w:rsid w:val="5EEA69DD"/>
    <w:rsid w:val="61AD3C91"/>
    <w:rsid w:val="64C50A90"/>
    <w:rsid w:val="6773145F"/>
    <w:rsid w:val="692B391B"/>
    <w:rsid w:val="698B1A0E"/>
    <w:rsid w:val="6B106FC5"/>
    <w:rsid w:val="6C2B39CB"/>
    <w:rsid w:val="6F745D74"/>
    <w:rsid w:val="6FB164E0"/>
    <w:rsid w:val="70706B93"/>
    <w:rsid w:val="70BD73AD"/>
    <w:rsid w:val="71172346"/>
    <w:rsid w:val="72F5227C"/>
    <w:rsid w:val="763B583E"/>
    <w:rsid w:val="77356731"/>
    <w:rsid w:val="779E42D6"/>
    <w:rsid w:val="77C5123D"/>
    <w:rsid w:val="7ADA7C3B"/>
    <w:rsid w:val="7AF67B63"/>
    <w:rsid w:val="7B114DBF"/>
    <w:rsid w:val="7C521865"/>
    <w:rsid w:val="7D580A83"/>
    <w:rsid w:val="7D8D7874"/>
    <w:rsid w:val="7E3F1C43"/>
    <w:rsid w:val="7ED015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0"/>
      <w:lang w:val="en-US" w:eastAsia="zh-CN" w:bidi="ar-SA"/>
    </w:rPr>
  </w:style>
  <w:style w:type="paragraph" w:styleId="2">
    <w:name w:val="heading 1"/>
    <w:basedOn w:val="1"/>
    <w:next w:val="1"/>
    <w:link w:val="16"/>
    <w:qFormat/>
    <w:uiPriority w:val="0"/>
    <w:pPr>
      <w:keepNext/>
      <w:keepLines/>
      <w:numPr>
        <w:ilvl w:val="0"/>
        <w:numId w:val="1"/>
      </w:numPr>
      <w:tabs>
        <w:tab w:val="left" w:pos="432"/>
      </w:tabs>
      <w:spacing w:before="340" w:after="330" w:line="576" w:lineRule="auto"/>
      <w:outlineLvl w:val="0"/>
    </w:pPr>
    <w:rPr>
      <w:b/>
      <w:bCs/>
      <w:kern w:val="44"/>
      <w:sz w:val="36"/>
      <w:szCs w:val="44"/>
    </w:rPr>
  </w:style>
  <w:style w:type="paragraph" w:styleId="3">
    <w:name w:val="heading 2"/>
    <w:basedOn w:val="1"/>
    <w:next w:val="1"/>
    <w:link w:val="17"/>
    <w:unhideWhenUsed/>
    <w:qFormat/>
    <w:uiPriority w:val="0"/>
    <w:pPr>
      <w:keepNext/>
      <w:keepLines/>
      <w:numPr>
        <w:ilvl w:val="1"/>
        <w:numId w:val="1"/>
      </w:numPr>
      <w:tabs>
        <w:tab w:val="left" w:pos="432"/>
        <w:tab w:val="left" w:pos="576"/>
      </w:tabs>
      <w:spacing w:before="260" w:after="260" w:line="412" w:lineRule="auto"/>
      <w:outlineLvl w:val="1"/>
    </w:pPr>
    <w:rPr>
      <w:rFonts w:ascii="Arial" w:hAnsi="Arial" w:eastAsia="黑体"/>
      <w:b/>
      <w:bCs/>
      <w:sz w:val="32"/>
      <w:szCs w:val="32"/>
    </w:rPr>
  </w:style>
  <w:style w:type="paragraph" w:styleId="4">
    <w:name w:val="heading 3"/>
    <w:basedOn w:val="1"/>
    <w:next w:val="1"/>
    <w:link w:val="18"/>
    <w:unhideWhenUsed/>
    <w:qFormat/>
    <w:uiPriority w:val="0"/>
    <w:pPr>
      <w:keepNext/>
      <w:keepLines/>
      <w:numPr>
        <w:ilvl w:val="2"/>
        <w:numId w:val="1"/>
      </w:numPr>
      <w:tabs>
        <w:tab w:val="left" w:pos="432"/>
        <w:tab w:val="left" w:pos="720"/>
      </w:tabs>
      <w:spacing w:before="260" w:after="260" w:line="412" w:lineRule="auto"/>
      <w:outlineLvl w:val="2"/>
    </w:pPr>
    <w:rPr>
      <w:b/>
      <w:bCs/>
      <w:sz w:val="32"/>
      <w:szCs w:val="32"/>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unhideWhenUsed/>
    <w:qFormat/>
    <w:uiPriority w:val="39"/>
    <w:pPr>
      <w:ind w:left="840" w:leftChars="400"/>
    </w:pPr>
  </w:style>
  <w:style w:type="paragraph" w:styleId="6">
    <w:name w:val="footer"/>
    <w:basedOn w:val="1"/>
    <w:link w:val="15"/>
    <w:unhideWhenUsed/>
    <w:qFormat/>
    <w:uiPriority w:val="99"/>
    <w:pPr>
      <w:tabs>
        <w:tab w:val="center" w:pos="4153"/>
        <w:tab w:val="right" w:pos="8306"/>
      </w:tabs>
      <w:snapToGrid w:val="0"/>
      <w:jc w:val="left"/>
    </w:pPr>
    <w:rPr>
      <w:sz w:val="18"/>
      <w:szCs w:val="18"/>
    </w:rPr>
  </w:style>
  <w:style w:type="paragraph" w:styleId="7">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unhideWhenUsed/>
    <w:qFormat/>
    <w:uiPriority w:val="39"/>
  </w:style>
  <w:style w:type="paragraph" w:styleId="9">
    <w:name w:val="toc 2"/>
    <w:basedOn w:val="1"/>
    <w:next w:val="1"/>
    <w:unhideWhenUsed/>
    <w:qFormat/>
    <w:uiPriority w:val="39"/>
    <w:pPr>
      <w:ind w:left="420" w:leftChars="200"/>
    </w:pPr>
  </w:style>
  <w:style w:type="table" w:styleId="11">
    <w:name w:val="Table Grid"/>
    <w:basedOn w:val="10"/>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unhideWhenUsed/>
    <w:qFormat/>
    <w:uiPriority w:val="99"/>
    <w:rPr>
      <w:color w:val="0000FF"/>
      <w:u w:val="single"/>
    </w:rPr>
  </w:style>
  <w:style w:type="character" w:customStyle="1" w:styleId="14">
    <w:name w:val="页眉 字符"/>
    <w:basedOn w:val="12"/>
    <w:link w:val="7"/>
    <w:qFormat/>
    <w:uiPriority w:val="99"/>
    <w:rPr>
      <w:sz w:val="18"/>
      <w:szCs w:val="18"/>
    </w:rPr>
  </w:style>
  <w:style w:type="character" w:customStyle="1" w:styleId="15">
    <w:name w:val="页脚 字符"/>
    <w:basedOn w:val="12"/>
    <w:link w:val="6"/>
    <w:qFormat/>
    <w:uiPriority w:val="99"/>
    <w:rPr>
      <w:sz w:val="18"/>
      <w:szCs w:val="18"/>
    </w:rPr>
  </w:style>
  <w:style w:type="character" w:customStyle="1" w:styleId="16">
    <w:name w:val="标题 1 字符"/>
    <w:basedOn w:val="12"/>
    <w:link w:val="2"/>
    <w:qFormat/>
    <w:uiPriority w:val="0"/>
    <w:rPr>
      <w:rFonts w:ascii="Times New Roman" w:hAnsi="Times New Roman" w:eastAsia="宋体" w:cs="Times New Roman"/>
      <w:b/>
      <w:bCs/>
      <w:kern w:val="44"/>
      <w:sz w:val="36"/>
      <w:szCs w:val="44"/>
    </w:rPr>
  </w:style>
  <w:style w:type="character" w:customStyle="1" w:styleId="17">
    <w:name w:val="标题 2 字符"/>
    <w:basedOn w:val="12"/>
    <w:link w:val="3"/>
    <w:qFormat/>
    <w:uiPriority w:val="0"/>
    <w:rPr>
      <w:rFonts w:ascii="Arial" w:hAnsi="Arial" w:eastAsia="黑体" w:cs="Times New Roman"/>
      <w:b/>
      <w:bCs/>
      <w:sz w:val="32"/>
      <w:szCs w:val="32"/>
    </w:rPr>
  </w:style>
  <w:style w:type="character" w:customStyle="1" w:styleId="18">
    <w:name w:val="标题 3 字符"/>
    <w:basedOn w:val="12"/>
    <w:link w:val="4"/>
    <w:qFormat/>
    <w:uiPriority w:val="0"/>
    <w:rPr>
      <w:rFonts w:ascii="Times New Roman" w:hAnsi="Times New Roman" w:eastAsia="宋体" w:cs="Times New Roman"/>
      <w:b/>
      <w:bCs/>
      <w:sz w:val="32"/>
      <w:szCs w:val="32"/>
    </w:rPr>
  </w:style>
  <w:style w:type="paragraph" w:customStyle="1" w:styleId="19">
    <w:name w:val="TOC 标题1"/>
    <w:basedOn w:val="2"/>
    <w:next w:val="1"/>
    <w:qFormat/>
    <w:uiPriority w:val="0"/>
    <w:pPr>
      <w:widowControl/>
      <w:numPr>
        <w:numId w:val="0"/>
      </w:numPr>
      <w:spacing w:before="480" w:after="0" w:line="276" w:lineRule="auto"/>
      <w:jc w:val="left"/>
      <w:outlineLvl w:val="9"/>
    </w:pPr>
    <w:rPr>
      <w:rFonts w:ascii="Cambria" w:hAnsi="Cambria"/>
      <w:color w:val="365F91"/>
      <w:kern w:val="0"/>
      <w:sz w:val="28"/>
      <w:szCs w:val="28"/>
    </w:rPr>
  </w:style>
  <w:style w:type="paragraph" w:styleId="20">
    <w:name w:val="List Paragraph"/>
    <w:basedOn w:val="1"/>
    <w:qFormat/>
    <w:uiPriority w:val="34"/>
    <w:pPr>
      <w:ind w:firstLine="420" w:firstLineChars="200"/>
    </w:pPr>
  </w:style>
  <w:style w:type="character" w:customStyle="1" w:styleId="21">
    <w:name w:val="Unresolved Mention"/>
    <w:basedOn w:val="12"/>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theme" Target="theme/theme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5E431C-DF17-4080-BE70-74C42507B754}">
  <ds:schemaRefs/>
</ds:datastoreItem>
</file>

<file path=docProps/app.xml><?xml version="1.0" encoding="utf-8"?>
<Properties xmlns="http://schemas.openxmlformats.org/officeDocument/2006/extended-properties" xmlns:vt="http://schemas.openxmlformats.org/officeDocument/2006/docPropsVTypes">
  <Template>Normal.dotm</Template>
  <Pages>14</Pages>
  <Words>1930</Words>
  <Characters>1985</Characters>
  <Lines>19</Lines>
  <Paragraphs>5</Paragraphs>
  <TotalTime>7</TotalTime>
  <ScaleCrop>false</ScaleCrop>
  <LinksUpToDate>false</LinksUpToDate>
  <CharactersWithSpaces>2053</CharactersWithSpaces>
  <Application>WPS Office_12.1.0.15398_F1E327BC-269C-435d-A152-05C5408002CA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2019-12-31T02:58:00Z</dcterms:created>
  <dc:creator>gao haixia</dc:creator>
  <cp:lastModifiedBy>GaoHX</cp:lastModifiedBy>
  <dcterms:modified xsi:type="dcterms:W3CDTF">2023-09-22T01:00:07Z</dcterms:modified>
  <cp:revision>299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mondata">
    <vt:lpwstr>eyJoZGlkIjoiNGM4OGI4YTkzOTdkZmE2ZDFkZjk3YzY5NmM4NzRkZTYifQ==</vt:lpwstr>
  </property>
  <property fmtid="{D5CDD505-2E9C-101B-9397-08002B2CF9AE}" pid="3" name="KSOProductBuildVer">
    <vt:lpwstr>2052-12.1.0.15398</vt:lpwstr>
  </property>
  <property fmtid="{D5CDD505-2E9C-101B-9397-08002B2CF9AE}" pid="4" name="ICV">
    <vt:lpwstr>D553DAC2A18443D4B5F4C29F398FA3F2</vt:lpwstr>
  </property>
</Properties>
</file>